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5A970" w14:textId="1765AD1D" w:rsidR="005A2D5A" w:rsidRPr="001D54D3" w:rsidRDefault="00051EDF" w:rsidP="00051EDF">
      <w:pPr>
        <w:pStyle w:val="BodyText"/>
        <w:spacing w:before="3"/>
        <w:jc w:val="center"/>
        <w:rPr>
          <w:b/>
          <w:bCs/>
          <w:sz w:val="28"/>
          <w:szCs w:val="28"/>
        </w:rPr>
      </w:pPr>
      <w:r w:rsidRPr="001D54D3">
        <w:rPr>
          <w:b/>
          <w:bCs/>
          <w:sz w:val="28"/>
          <w:szCs w:val="28"/>
        </w:rPr>
        <w:t xml:space="preserve">FENOMENA </w:t>
      </w:r>
      <w:r w:rsidRPr="001D54D3">
        <w:rPr>
          <w:b/>
          <w:bCs/>
          <w:i/>
          <w:iCs/>
          <w:sz w:val="28"/>
          <w:szCs w:val="28"/>
        </w:rPr>
        <w:t>TABARRUJ</w:t>
      </w:r>
      <w:r w:rsidRPr="001D54D3">
        <w:rPr>
          <w:b/>
          <w:bCs/>
          <w:sz w:val="28"/>
          <w:szCs w:val="28"/>
        </w:rPr>
        <w:t xml:space="preserve"> DALAM MEDIA SOSIAL</w:t>
      </w:r>
    </w:p>
    <w:p w14:paraId="24321ED9" w14:textId="77777777" w:rsidR="00051EDF" w:rsidRPr="001D54D3" w:rsidRDefault="00051EDF" w:rsidP="00051EDF">
      <w:pPr>
        <w:pStyle w:val="BodyText"/>
        <w:spacing w:before="3"/>
        <w:jc w:val="center"/>
        <w:rPr>
          <w:b/>
          <w:sz w:val="28"/>
        </w:rPr>
      </w:pPr>
    </w:p>
    <w:p w14:paraId="01421A6A" w14:textId="4FE292AA" w:rsidR="005A2D5A" w:rsidRPr="001D54D3" w:rsidRDefault="001D28F7" w:rsidP="00051EDF">
      <w:pPr>
        <w:pStyle w:val="Heading2"/>
        <w:ind w:left="0" w:right="358" w:firstLine="0"/>
        <w:jc w:val="center"/>
      </w:pPr>
      <w:r w:rsidRPr="001D54D3">
        <w:t>Nuraini Habibah</w:t>
      </w:r>
      <w:r w:rsidR="00051EDF" w:rsidRPr="001D54D3">
        <w:rPr>
          <w:position w:val="6"/>
          <w:sz w:val="16"/>
        </w:rPr>
        <w:t>1)</w:t>
      </w:r>
      <w:r w:rsidR="00051EDF" w:rsidRPr="001D54D3">
        <w:t>,</w:t>
      </w:r>
      <w:r w:rsidR="00051EDF" w:rsidRPr="001D54D3">
        <w:rPr>
          <w:spacing w:val="-6"/>
        </w:rPr>
        <w:t xml:space="preserve"> </w:t>
      </w:r>
      <w:r w:rsidRPr="001D54D3">
        <w:t>Siti Sangadah</w:t>
      </w:r>
      <w:r>
        <w:rPr>
          <w:position w:val="6"/>
          <w:sz w:val="16"/>
        </w:rPr>
        <w:t>2</w:t>
      </w:r>
      <w:r w:rsidR="00051EDF" w:rsidRPr="001D54D3">
        <w:rPr>
          <w:position w:val="6"/>
          <w:sz w:val="16"/>
        </w:rPr>
        <w:t>)</w:t>
      </w:r>
    </w:p>
    <w:p w14:paraId="5FFBF733" w14:textId="1600520E" w:rsidR="005A2D5A" w:rsidRPr="001D54D3" w:rsidRDefault="00051EDF" w:rsidP="00051EDF">
      <w:pPr>
        <w:pStyle w:val="BodyText"/>
        <w:ind w:left="345" w:right="357"/>
        <w:jc w:val="center"/>
        <w:rPr>
          <w:sz w:val="40"/>
          <w:szCs w:val="40"/>
        </w:rPr>
      </w:pPr>
      <w:r w:rsidRPr="001D54D3">
        <w:rPr>
          <w:position w:val="6"/>
          <w:szCs w:val="40"/>
        </w:rPr>
        <w:t>Institut Agama Islam Nahdlatul Ulama (IAINU) Kebumen</w:t>
      </w:r>
    </w:p>
    <w:p w14:paraId="70FE3C18" w14:textId="3884C314" w:rsidR="00051EDF" w:rsidRPr="009B2842" w:rsidRDefault="00051EDF" w:rsidP="009B2842">
      <w:pPr>
        <w:pStyle w:val="BodyText"/>
        <w:ind w:left="345" w:right="360"/>
        <w:jc w:val="center"/>
        <w:rPr>
          <w:spacing w:val="-5"/>
        </w:rPr>
      </w:pPr>
      <w:r w:rsidRPr="001D54D3">
        <w:t>Email:</w:t>
      </w:r>
      <w:r w:rsidRPr="001D54D3">
        <w:rPr>
          <w:spacing w:val="-5"/>
        </w:rPr>
        <w:t xml:space="preserve"> </w:t>
      </w:r>
      <w:hyperlink r:id="rId8" w:history="1">
        <w:r w:rsidR="00786A3E" w:rsidRPr="00820DE0">
          <w:rPr>
            <w:rStyle w:val="Hyperlink"/>
            <w:spacing w:val="-5"/>
          </w:rPr>
          <w:t>habibahnuraini475@gmail.com</w:t>
        </w:r>
        <w:r w:rsidR="00786A3E" w:rsidRPr="00820DE0">
          <w:rPr>
            <w:rStyle w:val="Hyperlink"/>
            <w:spacing w:val="-5"/>
            <w:vertAlign w:val="superscript"/>
          </w:rPr>
          <w:t>1)</w:t>
        </w:r>
      </w:hyperlink>
      <w:r w:rsidR="009B2842">
        <w:rPr>
          <w:spacing w:val="-5"/>
        </w:rPr>
        <w:t xml:space="preserve">, </w:t>
      </w:r>
      <w:hyperlink r:id="rId9" w:history="1">
        <w:r w:rsidRPr="001D54D3">
          <w:rPr>
            <w:rStyle w:val="Hyperlink"/>
          </w:rPr>
          <w:t>Uutsangadah1399@gmail.com</w:t>
        </w:r>
      </w:hyperlink>
      <w:r w:rsidR="009B2842" w:rsidRPr="009B2842">
        <w:rPr>
          <w:rStyle w:val="Hyperlink"/>
          <w:vertAlign w:val="superscript"/>
        </w:rPr>
        <w:t>2)</w:t>
      </w:r>
    </w:p>
    <w:p w14:paraId="1D260E0D" w14:textId="77777777" w:rsidR="005A2D5A" w:rsidRPr="001D54D3" w:rsidRDefault="005A2D5A">
      <w:pPr>
        <w:pStyle w:val="BodyText"/>
        <w:rPr>
          <w:sz w:val="22"/>
        </w:rPr>
      </w:pPr>
    </w:p>
    <w:p w14:paraId="57F5CD48" w14:textId="77777777" w:rsidR="005A2D5A" w:rsidRPr="001D54D3" w:rsidRDefault="005A2D5A">
      <w:pPr>
        <w:pStyle w:val="BodyText"/>
        <w:spacing w:before="42"/>
        <w:rPr>
          <w:sz w:val="22"/>
        </w:rPr>
      </w:pPr>
    </w:p>
    <w:p w14:paraId="0BD124B7" w14:textId="77777777" w:rsidR="005A2D5A" w:rsidRPr="001D54D3" w:rsidRDefault="00000000">
      <w:pPr>
        <w:ind w:left="3990"/>
        <w:rPr>
          <w:b/>
          <w:bCs/>
          <w:i/>
        </w:rPr>
      </w:pPr>
      <w:r w:rsidRPr="001D54D3">
        <w:rPr>
          <w:b/>
          <w:bCs/>
          <w:i/>
          <w:spacing w:val="-2"/>
        </w:rPr>
        <w:t>Abstract</w:t>
      </w:r>
    </w:p>
    <w:p w14:paraId="4F435B46" w14:textId="77777777" w:rsidR="00051EDF" w:rsidRPr="001D54D3" w:rsidRDefault="00051EDF" w:rsidP="00D14F19">
      <w:pPr>
        <w:spacing w:before="1"/>
        <w:jc w:val="both"/>
        <w:rPr>
          <w:i/>
        </w:rPr>
      </w:pPr>
      <w:r w:rsidRPr="001D54D3">
        <w:rPr>
          <w:i/>
        </w:rPr>
        <w:t>The aim of writing this article is to understand the concept of tabarruj according to M. Quraish Shihab, to observe the phenomenon of tabarruj in the current context, and to relate it to his view of the concept in the Qur'an. The research method used is a literature study, with a qualitative approach and thematic interpretation method. Data is obtained from various written sources, with Tafsir Al-Mishbah as the main reference due to its relevance to the research topic. Secondary data sources include the works of M. Quraish Shihab, articles, journals, and related theses. The results show that tabarruj in M. Quraish Shihab's view includes the display of jewelry that should not be done by women of good character, or the use of inappropriate clothing. The prohibition against tabarruj is included in the teachings of the Qur'an, as mentioned in Surah Al-Ahzab verse 33. The phenomenon of using social media is also connected to the concept of tabarruj, where many people use this platform to show off their beauty and jewelry in the hope of getting compliments.</w:t>
      </w:r>
    </w:p>
    <w:p w14:paraId="7B022ED3" w14:textId="1F724D44" w:rsidR="005A2D5A" w:rsidRPr="001D54D3" w:rsidRDefault="00000000" w:rsidP="00D14F19">
      <w:pPr>
        <w:spacing w:before="1" w:line="480" w:lineRule="auto"/>
        <w:rPr>
          <w:i/>
        </w:rPr>
      </w:pPr>
      <w:r w:rsidRPr="001D54D3">
        <w:rPr>
          <w:b/>
          <w:bCs/>
          <w:i/>
        </w:rPr>
        <w:t>Keywords:</w:t>
      </w:r>
      <w:r w:rsidRPr="001D54D3">
        <w:rPr>
          <w:i/>
        </w:rPr>
        <w:t xml:space="preserve"> </w:t>
      </w:r>
      <w:r w:rsidR="00D14F19" w:rsidRPr="001D54D3">
        <w:rPr>
          <w:i/>
        </w:rPr>
        <w:t>Tabarruj, social media, Surah Al-Ahzab, Tafsir Al-Mishbah.</w:t>
      </w:r>
    </w:p>
    <w:p w14:paraId="1DCB4978" w14:textId="77777777" w:rsidR="005A2D5A" w:rsidRPr="001D54D3" w:rsidRDefault="00000000" w:rsidP="00D14F19">
      <w:pPr>
        <w:spacing w:before="16"/>
        <w:jc w:val="center"/>
        <w:rPr>
          <w:b/>
        </w:rPr>
      </w:pPr>
      <w:r w:rsidRPr="001D54D3">
        <w:rPr>
          <w:b/>
          <w:spacing w:val="-2"/>
        </w:rPr>
        <w:t>Abstrak</w:t>
      </w:r>
    </w:p>
    <w:p w14:paraId="6EEDA0D2" w14:textId="77777777" w:rsidR="00D14F19" w:rsidRPr="001D54D3" w:rsidRDefault="00051EDF" w:rsidP="00D14F19">
      <w:pPr>
        <w:jc w:val="both"/>
        <w:rPr>
          <w:rFonts w:cs="Times New Roman"/>
          <w:lang w:val="id-ID"/>
        </w:rPr>
      </w:pPr>
      <w:r w:rsidRPr="001D54D3">
        <w:rPr>
          <w:rFonts w:cs="Times New Roman"/>
          <w:lang w:val="id-ID"/>
        </w:rPr>
        <w:t>Penulisan artikel ini bertujuan untuk memahami konsep tabarruj menurut M. Quraish Shihab, mengamati fenomena tabarruj dalam konteks saat ini, dan menghubungkannya dengan pandangan beliau tentang konsep tersebut dalam Al-Qur’an. Metode penelitian yang digunakan adalah studi kepustakaan, dengan pendekatan kualitatif dan metode tafsir tematik. Data diperoleh dari berbagai sumber tertulis, dengan Tafsir Al-Mishbah sebagai rujukan utama karena relevansinya dengan topik penelitian. Sumber data sekunder meliputi karya-karya M. Quraish Shihab, artikel, jurnal, dan skripsi terkait. Hasil penelitian menunjukkan bahwa tabarruj menurut pandangan M. Quraish Shihab mencakup perlihatan perhiasan yang seharusnya tidak dilakukan oleh perempuan yang berakhlak baik, atau penggunaan pakaian yang tidak pantas. Larangan terhadap tabarruj termasuk dalam ajaran Al-Qur’an, seperti yang disebutkan dalam Surah Al-Ahzab ayat 33. Fenomena penggunaan media sosial juga dihubungkan dengan konsep tabarruj, di mana banyak orang menggunakan platform ini untuk memamerkan kecantikan dan perhiasan mereka dengan harapan mendapat pujian.</w:t>
      </w:r>
    </w:p>
    <w:p w14:paraId="672522AE" w14:textId="2DB7261A" w:rsidR="005A2D5A" w:rsidRPr="001D54D3" w:rsidRDefault="00000000" w:rsidP="00D14F19">
      <w:pPr>
        <w:jc w:val="both"/>
      </w:pPr>
      <w:r w:rsidRPr="001D54D3">
        <w:rPr>
          <w:b/>
        </w:rPr>
        <w:t>Kata</w:t>
      </w:r>
      <w:r w:rsidRPr="001D54D3">
        <w:rPr>
          <w:b/>
          <w:spacing w:val="-7"/>
        </w:rPr>
        <w:t xml:space="preserve"> </w:t>
      </w:r>
      <w:r w:rsidRPr="001D54D3">
        <w:rPr>
          <w:b/>
        </w:rPr>
        <w:t>Kunci:</w:t>
      </w:r>
      <w:r w:rsidRPr="001D54D3">
        <w:rPr>
          <w:b/>
          <w:spacing w:val="-3"/>
        </w:rPr>
        <w:t xml:space="preserve"> </w:t>
      </w:r>
      <w:r w:rsidR="00D14F19" w:rsidRPr="001D54D3">
        <w:t>Tabarruj, media sosial, Surah Al-Ahzab, Tafsir Al-Mishbah.</w:t>
      </w:r>
    </w:p>
    <w:p w14:paraId="16B0554A" w14:textId="77777777" w:rsidR="005A2D5A" w:rsidRPr="001D54D3" w:rsidRDefault="005A2D5A" w:rsidP="00D14F19">
      <w:pPr>
        <w:pStyle w:val="BodyText"/>
        <w:rPr>
          <w:sz w:val="22"/>
        </w:rPr>
      </w:pPr>
    </w:p>
    <w:p w14:paraId="05C4B6D4" w14:textId="77777777" w:rsidR="005A2D5A" w:rsidRPr="001D54D3" w:rsidRDefault="005A2D5A">
      <w:pPr>
        <w:pStyle w:val="BodyText"/>
        <w:spacing w:before="164"/>
        <w:rPr>
          <w:sz w:val="22"/>
        </w:rPr>
      </w:pPr>
    </w:p>
    <w:p w14:paraId="66A6864E" w14:textId="14B6C1FE" w:rsidR="005A2D5A" w:rsidRPr="001D54D3" w:rsidRDefault="00000000">
      <w:pPr>
        <w:pStyle w:val="Heading1"/>
        <w:jc w:val="both"/>
      </w:pPr>
      <w:r w:rsidRPr="001D54D3">
        <w:t>PENDAHULUAN</w:t>
      </w:r>
      <w:r w:rsidRPr="001D54D3">
        <w:rPr>
          <w:spacing w:val="-4"/>
        </w:rPr>
        <w:t xml:space="preserve"> </w:t>
      </w:r>
    </w:p>
    <w:p w14:paraId="3BEC25DD" w14:textId="6D0F08F6" w:rsidR="005A2D5A" w:rsidRPr="001D54D3" w:rsidRDefault="00D14F19" w:rsidP="00D14F19">
      <w:pPr>
        <w:pStyle w:val="BodyText"/>
        <w:spacing w:line="360" w:lineRule="auto"/>
        <w:ind w:firstLine="720"/>
        <w:jc w:val="both"/>
      </w:pPr>
      <w:r w:rsidRPr="001D54D3">
        <w:t>Al-Qur’an, sebagai firman Allah, merupakan sumber utama ajaran dalam Islam, di antara sumber-sumber lainnya. Kepercayaan pada Al-Qur’an dan dampaknya dalam sejarah umat Islam telah mengakar sedemikian kuat sehingga keyakinan pada kitab suci ini menjadi salah satu pilar iman. Di era saat ini, terjadi berbagai perubahan dalam pemahaman dan aplikasi ajaran yang terkandung dalam kitab suci tersebut.</w:t>
      </w:r>
      <w:r w:rsidRPr="001D54D3">
        <w:rPr>
          <w:rStyle w:val="FootnoteReference"/>
        </w:rPr>
        <w:footnoteReference w:id="1"/>
      </w:r>
      <w:r w:rsidRPr="001D54D3">
        <w:t xml:space="preserve"> Al-Qur’an </w:t>
      </w:r>
      <w:r w:rsidRPr="001D54D3">
        <w:lastRenderedPageBreak/>
        <w:t>dianggap sebagai penyempurna ajaran dari kitab-kitab sebelumnya dan juga sebagai mukjizat dari Nabi Muhammad saw. Ketika seseorang membaca, memahami, dan merenungkan isinya, dia akan mendapatkan pahala dari Allah. Al-Qur’an berfungsi sebagai sumber inspirasi dan panduan bagi umat manusia dalam menjalani kehidupan.</w:t>
      </w:r>
      <w:r w:rsidRPr="001D54D3">
        <w:rPr>
          <w:rStyle w:val="FootnoteReference"/>
        </w:rPr>
        <w:footnoteReference w:id="2"/>
      </w:r>
    </w:p>
    <w:p w14:paraId="75D3CE8B" w14:textId="029E3D5A" w:rsidR="00D14F19" w:rsidRPr="001D54D3" w:rsidRDefault="00D14F19" w:rsidP="00D14F19">
      <w:pPr>
        <w:pStyle w:val="BodyText"/>
        <w:spacing w:line="360" w:lineRule="auto"/>
        <w:ind w:firstLine="720"/>
        <w:jc w:val="both"/>
        <w:rPr>
          <w:rFonts w:cs="Times New Roman"/>
        </w:rPr>
      </w:pPr>
      <w:r w:rsidRPr="001D54D3">
        <w:rPr>
          <w:rFonts w:cs="Times New Roman"/>
        </w:rPr>
        <w:t>Di dalam Al-Qur’an terdapat bebagai aturan dan ajaran yang melingkupi semua aspek kehidupan manusia, supaya dijadikan sebagai pedoman hidup. Salah satu ajaran yang terdapat dalam Islam adalah tata cara berhias dan berpakaian. Ajaran ini bertujuan untuk membentuk kesadaran yang berdasar keimanan untuk menutup aurat. Islam pada dasarnya tidak melarang seorang perempuan untuk tampil rapi dan menarik, justru dianjurkan bagi seorang perempuan untuk tampil rapi dan menarik, selama berhias tidak melampaui batas.</w:t>
      </w:r>
      <w:r w:rsidRPr="001D54D3">
        <w:rPr>
          <w:rStyle w:val="FootnoteReference"/>
          <w:rFonts w:cs="Times New Roman"/>
        </w:rPr>
        <w:footnoteReference w:id="3"/>
      </w:r>
    </w:p>
    <w:p w14:paraId="2BBAB9DE" w14:textId="259DBA95" w:rsidR="001D54D3" w:rsidRPr="001D54D3" w:rsidRDefault="001D54D3" w:rsidP="00D14F19">
      <w:pPr>
        <w:pStyle w:val="BodyText"/>
        <w:spacing w:line="360" w:lineRule="auto"/>
        <w:ind w:firstLine="720"/>
        <w:jc w:val="both"/>
      </w:pPr>
      <w:r w:rsidRPr="001D54D3">
        <w:t>Perkembangan zaman dan teknologi telah menyebabkan munculnya berbagai masalah dalam kehidupan, salah satunya berkaitan dengan cara berpakaian dan berhias bagi wanita muslim. Saat ini, terdapat beragam tren busana muslimah yang, tanpa disadari, mengubah fungsi awal pakaian yang seharusnya digunakan untuk menutup aurat menjadi sebaliknya, memperlihatkan aurat itu sendiri. Islam menyebut fenomena ini sebagai tabarruj. Di era saat ini, kita sering kali menyaksikan situasi yang mengkhawatirkan bagi beberapa wanita muslimah, di mana mereka menampilkan tubuh mereka di jalanan, tempat umum, pantai, dan lain-lain. Lebih mengkhawatirkan lagi, masyarakat cenderung acuh dan tidak terganggu saat melihat perilaku semacam itu. Bahkan, mereka tampaknya menerima dan mendukungnya tanpa mempertimbangkan bahaya yang mengintai mereka menuju jurang kesesatan.</w:t>
      </w:r>
      <w:r w:rsidRPr="001D54D3">
        <w:rPr>
          <w:rStyle w:val="FootnoteReference"/>
        </w:rPr>
        <w:footnoteReference w:id="4"/>
      </w:r>
    </w:p>
    <w:p w14:paraId="2A0299F9" w14:textId="30773052" w:rsidR="001D54D3" w:rsidRPr="001D54D3" w:rsidRDefault="001D54D3" w:rsidP="00D14F19">
      <w:pPr>
        <w:pStyle w:val="BodyText"/>
        <w:spacing w:line="360" w:lineRule="auto"/>
        <w:ind w:firstLine="720"/>
        <w:jc w:val="both"/>
      </w:pPr>
      <w:r w:rsidRPr="001D54D3">
        <w:t>Aplikasi media sosial seperti Instagram, Facebook, WhatsApp, Twitter, TikTok, YouTube, dan Snack Video sangat populer di kalangan masyarakat. Aplikasi-aplikasi tersebut khususnya diminati oleh kaum perempuan karena menyediakan berbagai fitur yang mereka sukai. Salah satu fitur yang sangat digemari oleh perempuan dalam media sosial adalah kemampuan untuk membagikan foto dengan berbagai pose, foto bersama teman, dan berbagai video. Melalui unggahan foto dan video tersebut, pengguna ingin menampilkan aspek-aspek yang dimilikinya, termasuk kecantikan dan keindahan tubuhnya, dengan harapan mendapatkan pujian dan perhatian dari orang lain, baik itu perempuan maupun laki-laki. Tanpa disadari, tindakan ini sebenarnya termasuk dalam perbuatan tabarruj.</w:t>
      </w:r>
    </w:p>
    <w:p w14:paraId="16E2A7CF" w14:textId="18E6F657" w:rsidR="001D54D3" w:rsidRPr="001D54D3" w:rsidRDefault="001D54D3" w:rsidP="00D14F19">
      <w:pPr>
        <w:pStyle w:val="BodyText"/>
        <w:spacing w:line="360" w:lineRule="auto"/>
        <w:ind w:firstLine="720"/>
        <w:jc w:val="both"/>
      </w:pPr>
      <w:r w:rsidRPr="001D54D3">
        <w:t>Dalam konteks bahasa, tabarruj merujuk pada perilaku perempuan yang menampilkan keindahan dan perhiasannya kepada laki-laki. Namun, dari perspektif syari'ah, tabarruj mengacu pada tindakan perempuan yang memperlihatkan perhiasannya, termasuk wajah dan kecantikannya, kepada laki-laki dengan tujuan membangkitkan nafsu syahwat.</w:t>
      </w:r>
      <w:r w:rsidRPr="001D54D3">
        <w:rPr>
          <w:rStyle w:val="FootnoteReference"/>
        </w:rPr>
        <w:footnoteReference w:id="5"/>
      </w:r>
      <w:r w:rsidRPr="001D54D3">
        <w:t xml:space="preserve"> Perempuan secara alami cenderung suka berhias, merapikan penampilan, dan berdandan. Meskipun demikian, Islam mengatur hal tersebut dengan porsi yang tepat serta mengingatkan agar digunakan sesuai dengan tempat dan situasi yang sesuai. Di masyarakat, sering kali terjadi fenomena di mana banyak perempuan mengeluarkan uang secara berlebihan untuk membeli pakaian, perhiasan, dan produk kecantikan lainnya. Padahal, semua itu tidak menjamin peningkatan status ekonomi atau kesejahteraan sosial dalam masyarakat.</w:t>
      </w:r>
      <w:r w:rsidRPr="001D54D3">
        <w:rPr>
          <w:rStyle w:val="FootnoteReference"/>
        </w:rPr>
        <w:footnoteReference w:id="6"/>
      </w:r>
    </w:p>
    <w:p w14:paraId="57BE8DDA" w14:textId="5E8DB98D" w:rsidR="001D54D3" w:rsidRDefault="001D54D3" w:rsidP="00D14F19">
      <w:pPr>
        <w:pStyle w:val="BodyText"/>
        <w:spacing w:line="360" w:lineRule="auto"/>
        <w:ind w:firstLine="720"/>
        <w:jc w:val="both"/>
        <w:rPr>
          <w:rFonts w:cs="Times New Roman"/>
        </w:rPr>
      </w:pPr>
      <w:r w:rsidRPr="001D54D3">
        <w:rPr>
          <w:rFonts w:cs="Times New Roman"/>
        </w:rPr>
        <w:t>Dari perspektif sosial, fenomena tabarruj cenderung mendapat penilaian negatif, terutama dalam masyarakat yang cenderung suka berbicara tentang kekurangan orang lain. Perempuan sering kali berusaha untuk menonjol dalam berbagai aspek, sering kali lebih memprioritaskan kehidupan dunia daripada kehidupan akhirat. Perempuan di zaman sekarang sering kali mengikuti trend dalam berpakaian, seperti istilah "ootd" (Outfit of the Day), dengan harapan agar dilihat sebagai individu yang modis dan keren. Mereka menggunakan pakaian tidak hanya untuk tujuan menutup aurat, tetapi lebih sebagai sarana untuk menunjukkan kecantikan dan gaya mereka.</w:t>
      </w:r>
      <w:r>
        <w:rPr>
          <w:rStyle w:val="FootnoteReference"/>
          <w:rFonts w:cs="Times New Roman"/>
        </w:rPr>
        <w:footnoteReference w:id="7"/>
      </w:r>
    </w:p>
    <w:p w14:paraId="5CB36D4C" w14:textId="261C7B1F" w:rsidR="001D54D3" w:rsidRPr="001D54D3" w:rsidRDefault="001D54D3" w:rsidP="00D14F19">
      <w:pPr>
        <w:pStyle w:val="BodyText"/>
        <w:spacing w:line="360" w:lineRule="auto"/>
        <w:ind w:firstLine="720"/>
        <w:jc w:val="both"/>
      </w:pPr>
      <w:r>
        <w:t>Banyak perempuan yang aktif di media sosial bersaing untuk memposting foto dengan harapan mendapat pujian dan penghargaan dari pengguna lainnya. Meskipun foto-foto yang diposting mungkin hanya menampilkan wajah mereka, hal tersebut masih bertentangan dengan ajaran Allah SWT yang memerintahkan untuk menjaga aurat dari laki-laki dan melarang perilaku tabarruj. Berdasarkan latar belakang masalah yang telah diuraikan, maka tema tulisan ini adalah Fenomena Tabarruj dalam Media Sosial berdasarkan Studi Penafsiran M. Quraish Shihab dalam Tafsir Al-Mishbah.</w:t>
      </w:r>
    </w:p>
    <w:p w14:paraId="0D9E7AF0" w14:textId="77777777" w:rsidR="00D14F19" w:rsidRPr="001D54D3" w:rsidRDefault="00D14F19" w:rsidP="00D14F19">
      <w:pPr>
        <w:pStyle w:val="BodyText"/>
        <w:spacing w:line="360" w:lineRule="auto"/>
        <w:ind w:firstLine="720"/>
        <w:jc w:val="both"/>
      </w:pPr>
    </w:p>
    <w:p w14:paraId="6D755BDC" w14:textId="77777777" w:rsidR="005A2D5A" w:rsidRPr="001D54D3" w:rsidRDefault="00000000">
      <w:pPr>
        <w:pStyle w:val="Heading1"/>
        <w:jc w:val="both"/>
      </w:pPr>
      <w:r w:rsidRPr="001D54D3">
        <w:t>METODE</w:t>
      </w:r>
      <w:r w:rsidRPr="001D54D3">
        <w:rPr>
          <w:spacing w:val="-2"/>
        </w:rPr>
        <w:t xml:space="preserve"> PENELITIAN</w:t>
      </w:r>
    </w:p>
    <w:p w14:paraId="1138B536" w14:textId="06E53673" w:rsidR="005A2D5A" w:rsidRPr="001D54D3" w:rsidRDefault="002A1238" w:rsidP="002A1238">
      <w:pPr>
        <w:pStyle w:val="BodyText"/>
        <w:spacing w:before="86" w:line="360" w:lineRule="auto"/>
        <w:ind w:firstLine="720"/>
        <w:jc w:val="both"/>
      </w:pPr>
      <w:r>
        <w:t xml:space="preserve">Dalam tulisan ini, digunakan metode library research sebagai pendekatan utama. Sumber utama yang menjadi fokus adalah kitab Tafsir Al-Mishbah karya M. Quraish Shihab. Sementara itu, sumber sekunder digunakan sebagai tambahan informasi yang diperoleh dari literatur, review, ulasan buku, dan sumber lainnya. Metode yang digunakan untuk menganalisis fenomena dalam media sosial adalah metode </w:t>
      </w:r>
      <w:r w:rsidRPr="002A1238">
        <w:rPr>
          <w:i/>
          <w:iCs/>
        </w:rPr>
        <w:t>Virtual Ethnography</w:t>
      </w:r>
      <w:r>
        <w:t>, yang dikembangkan oleh Christine Hine.</w:t>
      </w:r>
    </w:p>
    <w:p w14:paraId="478C8367" w14:textId="77777777" w:rsidR="005A2D5A" w:rsidRPr="001D54D3" w:rsidRDefault="005A2D5A">
      <w:pPr>
        <w:pStyle w:val="BodyText"/>
        <w:spacing w:before="139"/>
      </w:pPr>
    </w:p>
    <w:p w14:paraId="7499D564" w14:textId="77777777" w:rsidR="005A2D5A" w:rsidRPr="001D54D3" w:rsidRDefault="00000000">
      <w:pPr>
        <w:pStyle w:val="Heading1"/>
      </w:pPr>
      <w:r w:rsidRPr="001D54D3">
        <w:t>HASIL</w:t>
      </w:r>
      <w:r w:rsidRPr="001D54D3">
        <w:rPr>
          <w:spacing w:val="-3"/>
        </w:rPr>
        <w:t xml:space="preserve"> </w:t>
      </w:r>
      <w:r w:rsidRPr="001D54D3">
        <w:t>DAN</w:t>
      </w:r>
      <w:r w:rsidRPr="001D54D3">
        <w:rPr>
          <w:spacing w:val="-1"/>
        </w:rPr>
        <w:t xml:space="preserve"> </w:t>
      </w:r>
      <w:r w:rsidRPr="001D54D3">
        <w:rPr>
          <w:spacing w:val="-2"/>
        </w:rPr>
        <w:t>PEMBAHASAN</w:t>
      </w:r>
    </w:p>
    <w:p w14:paraId="0A42D7C9" w14:textId="77777777" w:rsidR="0092521C" w:rsidRDefault="0092521C" w:rsidP="0092521C">
      <w:pPr>
        <w:pStyle w:val="BodyText"/>
        <w:spacing w:line="360" w:lineRule="auto"/>
        <w:ind w:firstLine="720"/>
        <w:jc w:val="both"/>
      </w:pPr>
      <w:r>
        <w:t>Dari segi bahasa, tabarruj merujuk pada tindakan seorang wanita yang memamerkan kecantikan dan perhiasannya kepada laki-laki. Namun, dalam konteks syariah, tabarruj merujuk pada perilaku seorang wanita yang menampakkan perhiasan, wajah, dan kecantikannya kepada laki-laki dengan tujuan membangkitkan nafsu syahwat. Dalam Al-Qur'an, kata tabarruj disebutkan di dua tempat, yaitu dalam Surah Al-Ahzab ayat 33 dan Surah An-Nur ayat 60, yang menyiratkan larangan dan kecaman terhadap tabarruj.</w:t>
      </w:r>
    </w:p>
    <w:p w14:paraId="260A078F" w14:textId="77777777" w:rsidR="0092521C" w:rsidRDefault="0092521C" w:rsidP="0092521C">
      <w:pPr>
        <w:pStyle w:val="BodyText"/>
        <w:spacing w:line="360" w:lineRule="auto"/>
        <w:ind w:left="720"/>
        <w:jc w:val="both"/>
      </w:pPr>
    </w:p>
    <w:p w14:paraId="554A615B" w14:textId="1330B021" w:rsidR="002A1238" w:rsidRPr="002A1238" w:rsidRDefault="002A1238" w:rsidP="002A1238">
      <w:pPr>
        <w:pStyle w:val="BodyText"/>
        <w:numPr>
          <w:ilvl w:val="0"/>
          <w:numId w:val="3"/>
        </w:numPr>
        <w:spacing w:line="360" w:lineRule="auto"/>
        <w:jc w:val="both"/>
        <w:rPr>
          <w:b/>
          <w:bCs/>
        </w:rPr>
      </w:pPr>
      <w:r w:rsidRPr="002A1238">
        <w:rPr>
          <w:b/>
          <w:bCs/>
        </w:rPr>
        <w:t>Surah An-Nur ayat 60</w:t>
      </w:r>
    </w:p>
    <w:p w14:paraId="2185B900" w14:textId="77777777" w:rsidR="002A1238" w:rsidRPr="002A1238" w:rsidRDefault="002A1238" w:rsidP="002A1238">
      <w:pPr>
        <w:pStyle w:val="BodyText"/>
        <w:spacing w:line="360" w:lineRule="auto"/>
        <w:ind w:firstLine="720"/>
        <w:jc w:val="both"/>
      </w:pPr>
      <w:r w:rsidRPr="002A1238">
        <w:rPr>
          <w:rFonts w:cs="Times New Roman"/>
          <w:rtl/>
        </w:rPr>
        <w:t>وَالْقَوَاعِدُ مِنَ النِّسَاۤءِ الّٰتِيْ لَا يَرْجُوْنَ نِكَاحًا فَلَيْسَ عَلَيْهِنَّ جُنَاحٌ اَنْ يَّضَعْنَ ثِيَابَهُنَّ غَيْرَ مُتَبَرِّجٰتٍۢ بِزِيْنَةٍۗ وَاَنْ يَّسْتَعْفِفْنَ خَيْرٌ لَّهُنَّۗ وَاللّٰهُ سَمِيْعٌ عَلِيْمٌ</w:t>
      </w:r>
    </w:p>
    <w:p w14:paraId="6E5D4224" w14:textId="67A3CA83" w:rsidR="00903CCB" w:rsidRDefault="002A1238" w:rsidP="00903CCB">
      <w:pPr>
        <w:pStyle w:val="BodyText"/>
        <w:ind w:left="720"/>
        <w:jc w:val="both"/>
      </w:pPr>
      <w:r w:rsidRPr="002A1238">
        <w:t>Artinya: “Para perempuan tua yang telah berhenti (dari haid dan mengandung) yang tidak lagi berhasrat menikah, tidak ada dosa bagi mereka menanggalkan pakaian (luar) dengan tidak (bermaksud) menampakkan perhiasan. Akan tetapi, memelihara kehormatan (tetap mengenakan pakaian luar) lebih baik bagi mereka. Allah Maha Mendengar lagi Maha Mengetahui”.</w:t>
      </w:r>
      <w:r w:rsidR="00903CCB">
        <w:rPr>
          <w:rStyle w:val="FootnoteReference"/>
        </w:rPr>
        <w:footnoteReference w:id="8"/>
      </w:r>
    </w:p>
    <w:p w14:paraId="4FB893A4" w14:textId="77777777" w:rsidR="00903CCB" w:rsidRPr="002A1238" w:rsidRDefault="00903CCB" w:rsidP="00903CCB">
      <w:pPr>
        <w:pStyle w:val="BodyText"/>
        <w:ind w:left="720"/>
        <w:jc w:val="both"/>
      </w:pPr>
    </w:p>
    <w:p w14:paraId="2C9FBFE3" w14:textId="71F4FB31" w:rsidR="0092521C" w:rsidRDefault="0092521C" w:rsidP="0092521C">
      <w:pPr>
        <w:pStyle w:val="BodyText"/>
        <w:spacing w:line="360" w:lineRule="auto"/>
        <w:ind w:firstLine="720"/>
        <w:jc w:val="both"/>
      </w:pPr>
      <w:r>
        <w:t xml:space="preserve">Makna dari kata "ats-tsiyab" dalam ayat ini mengacu pada bagian dari pakaian yang meliputi jilbab yang menutupi kepala atau pakaian longgar yang menutupi aurat. Dalam konteks ayat ini, diperbolehkan bagi seorang perempuan yang telah lanjut usia dan tidak lagi memiliki keinginan untuk menikah atau dorongan birahi untuk tidak mengenakan pakaian luar yang menutupi tubuhnya. Kata "mutabarrijat" berasal dari kata "tabarruj", yang mengandung arti keterbukaan. Larangan terhadap tabarruj dalam ayat ini menunjukkan larangan bagi perempuan untuk menampilkan "perhiasan" yang seharusnya tidak diperlihatkan, atau menggunakan hal-hal yang tidak pantas seperti make-up berlebihan atau berjalan dengan gerakan yang mencolok. Menampilkan sesuatu yang seharusnya tidak diperlihatkan dapat menarik perhatian laki-laki lain dan memicu rasa tertarik atau gangguan dari mereka yang </w:t>
      </w:r>
      <w:r w:rsidR="00903CCB">
        <w:t>usil</w:t>
      </w:r>
      <w:r>
        <w:t>.</w:t>
      </w:r>
      <w:r w:rsidR="00903CCB">
        <w:rPr>
          <w:rStyle w:val="FootnoteReference"/>
        </w:rPr>
        <w:footnoteReference w:id="9"/>
      </w:r>
    </w:p>
    <w:p w14:paraId="53337963" w14:textId="77777777" w:rsidR="00795D10" w:rsidRDefault="002A1238" w:rsidP="0092521C">
      <w:pPr>
        <w:pStyle w:val="BodyText"/>
        <w:spacing w:line="360" w:lineRule="auto"/>
        <w:ind w:firstLine="720"/>
        <w:jc w:val="both"/>
      </w:pPr>
      <w:r w:rsidRPr="002A1238">
        <w:t>Larangan ayat ini ditujukan kepada perempuan yang sudah tua, sehingga perempuan yang lebih muda lebih terlarang lagi. Ada juga yang memahami larangan ber-tabarruj itu dalam arti larangan keluar rumah dengan pakaian terbuka, tidak memakai jilbab dan semacamnya. Akan tetapi kalau di dalam rumah, maka hal itu dibolehkan, walaupun ada selain mahram yang melihatnya.</w:t>
      </w:r>
      <w:r w:rsidR="00903CCB">
        <w:rPr>
          <w:rStyle w:val="FootnoteReference"/>
        </w:rPr>
        <w:footnoteReference w:id="10"/>
      </w:r>
      <w:r w:rsidRPr="002A1238">
        <w:t xml:space="preserve">  Dalam kitab Fi Zhilal Al-Qur’an disebutkan bahwa perempuan tua yang tidak memiliki nafsu tidak berdosa ketika melepaskan pakaian luarnya, dengan syarat auratnya tidak terbuka dan perhiasannya tidak terlihat. Sebenarnya lebih baik untuk memakai pakaian luar tersebut.</w:t>
      </w:r>
      <w:r w:rsidR="00795D10">
        <w:rPr>
          <w:rStyle w:val="FootnoteReference"/>
        </w:rPr>
        <w:footnoteReference w:id="11"/>
      </w:r>
      <w:r w:rsidRPr="002A1238">
        <w:t xml:space="preserve"> </w:t>
      </w:r>
    </w:p>
    <w:p w14:paraId="31D3877F" w14:textId="77777777" w:rsidR="00795D10" w:rsidRDefault="002A1238" w:rsidP="0092521C">
      <w:pPr>
        <w:pStyle w:val="BodyText"/>
        <w:spacing w:line="360" w:lineRule="auto"/>
        <w:ind w:firstLine="720"/>
        <w:jc w:val="both"/>
      </w:pPr>
      <w:r w:rsidRPr="002A1238">
        <w:t>Abu Hayyan menjelaskan sesuai dengan yang dikutip oleh Abdul Wahhab Abdussalam Tawilah dalam Surah An-Nur ayat 60 menjelaskan bahwa tabarruj adalah memperlihatkan segala sesuatu yang wajib disembunyikan. Sekarang ini ada beberapa perempuan tua yang masih memiliki keinginan untuk memperlihatkan kecantikannya. Walaupun Alloh memberikan keringanan dalam melepaskan pakaian luarnya tetapi tidak dalam hal perhiasan karena dengan memperlihatkan perhiasan dapat menimbulkan fitnah.</w:t>
      </w:r>
      <w:r w:rsidR="00795D10">
        <w:rPr>
          <w:rStyle w:val="FootnoteReference"/>
        </w:rPr>
        <w:footnoteReference w:id="12"/>
      </w:r>
      <w:r w:rsidRPr="002A1238">
        <w:t xml:space="preserve">  </w:t>
      </w:r>
    </w:p>
    <w:p w14:paraId="5003CAA9" w14:textId="50331C6E" w:rsidR="002A1238" w:rsidRDefault="002A1238" w:rsidP="0092521C">
      <w:pPr>
        <w:pStyle w:val="BodyText"/>
        <w:spacing w:line="360" w:lineRule="auto"/>
        <w:ind w:firstLine="720"/>
        <w:jc w:val="both"/>
      </w:pPr>
      <w:r w:rsidRPr="002A1238">
        <w:t>Menurut Buya Hamka perempuan yang sudah tua dan tidak berharap menikah lagi yang biasa disebut dengan qawaid atau yang memiliki makna  perempuan yang telah duduk, menapouse, tidak tergoda nafsu syahwatnya ketika laki-laki melihatnya dan perempun itu tidak memakai pakaian yang lengkap. Artinya dapat diperbolehkan ketika melepaskan pakaian luarnya.</w:t>
      </w:r>
      <w:r w:rsidR="00795D10">
        <w:rPr>
          <w:rStyle w:val="FootnoteReference"/>
        </w:rPr>
        <w:footnoteReference w:id="13"/>
      </w:r>
      <w:r w:rsidRPr="002A1238">
        <w:t xml:space="preserve">  Menurut Al-Syarawi, Alloh telah memberikan peraturan kepada perempuan muslimah yang mana peraturan tersebut wajib ditaati dan dipatuhinya dalam setiap tingkah, pola dan kesehariannya. Tujuan dari peraturan ini adalah untuk menjaga serta memelihara semua masyarakat agar terhindar dari fitnah dan agar laki-laki iseng tidak berniat buruk kepadanya.</w:t>
      </w:r>
      <w:r w:rsidR="00795D10">
        <w:rPr>
          <w:rStyle w:val="FootnoteReference"/>
        </w:rPr>
        <w:footnoteReference w:id="14"/>
      </w:r>
      <w:r w:rsidRPr="002A1238">
        <w:t xml:space="preserve"> </w:t>
      </w:r>
    </w:p>
    <w:p w14:paraId="6FB3C172" w14:textId="77777777" w:rsidR="0092521C" w:rsidRPr="002A1238" w:rsidRDefault="0092521C" w:rsidP="0092521C">
      <w:pPr>
        <w:pStyle w:val="BodyText"/>
        <w:spacing w:line="360" w:lineRule="auto"/>
        <w:ind w:firstLine="720"/>
        <w:jc w:val="both"/>
      </w:pPr>
    </w:p>
    <w:p w14:paraId="3C82850B" w14:textId="78DECE2B" w:rsidR="002A1238" w:rsidRPr="002A1238" w:rsidRDefault="002A1238" w:rsidP="002A1238">
      <w:pPr>
        <w:pStyle w:val="BodyText"/>
        <w:numPr>
          <w:ilvl w:val="0"/>
          <w:numId w:val="3"/>
        </w:numPr>
        <w:spacing w:line="360" w:lineRule="auto"/>
        <w:jc w:val="both"/>
        <w:rPr>
          <w:b/>
          <w:bCs/>
        </w:rPr>
      </w:pPr>
      <w:r w:rsidRPr="002A1238">
        <w:rPr>
          <w:b/>
          <w:bCs/>
        </w:rPr>
        <w:t>Surah Al-Ahzab ayat 33</w:t>
      </w:r>
    </w:p>
    <w:p w14:paraId="7636D40E" w14:textId="77777777" w:rsidR="002A1238" w:rsidRPr="002A1238" w:rsidRDefault="002A1238" w:rsidP="002A1238">
      <w:pPr>
        <w:pStyle w:val="BodyText"/>
        <w:spacing w:line="360" w:lineRule="auto"/>
        <w:ind w:firstLine="720"/>
        <w:jc w:val="both"/>
      </w:pPr>
      <w:r w:rsidRPr="002A1238">
        <w:rPr>
          <w:rFonts w:cs="Times New Roman"/>
          <w:rtl/>
        </w:rPr>
        <w:t>وَقَرْنَ فِيْ بُيُوْتِكُنَّ وَلَا تَبَرَّجْنَ تَبَرُّجَ الْجَاهِلِيَّةِ الْاُوْلٰى وَاَقِمْنَ الصَّلٰوةَ وَاٰتِيْنَ الزَّكٰوةَ وَاَطِعْنَ اللّٰهَ وَرَسُوْلَهٗ ۗاِنَّمَا يُرِيْدُ اللّٰهُ لِيُذْهِبَ عَنْكُمُ الرِّجْسَ اَهْلَ الْبَيْتِ وَيُطَهِّرَكُمْ تَطْهِيْرًاۚ</w:t>
      </w:r>
    </w:p>
    <w:p w14:paraId="30720DDB" w14:textId="10221BCC" w:rsidR="002A1238" w:rsidRDefault="002A1238" w:rsidP="00795D10">
      <w:pPr>
        <w:pStyle w:val="BodyText"/>
        <w:ind w:left="720"/>
        <w:jc w:val="both"/>
      </w:pPr>
      <w:r w:rsidRPr="002A1238">
        <w:t xml:space="preserve">Artinya: “Tetaplah (tinggal) di rumah-rumahmu dan janganlah berhias (dan bertingkah laku) seperti orang-orang jahiliah dahulu. Tegakkanlah salat, tunaikanlah zakat, serta taatilah Allah dan Rasul-Nya. Sesungguhnya Allah hanya hendak menghilangkan dosa darimu, wahai ahlulbait dan membersihkan kamu sebersih-bersihnya”. </w:t>
      </w:r>
      <w:r w:rsidR="00795D10">
        <w:rPr>
          <w:rStyle w:val="FootnoteReference"/>
        </w:rPr>
        <w:footnoteReference w:id="15"/>
      </w:r>
    </w:p>
    <w:p w14:paraId="1298EF54" w14:textId="77777777" w:rsidR="00795D10" w:rsidRPr="002A1238" w:rsidRDefault="00795D10" w:rsidP="00795D10">
      <w:pPr>
        <w:pStyle w:val="BodyText"/>
        <w:ind w:left="720"/>
        <w:jc w:val="both"/>
      </w:pPr>
    </w:p>
    <w:p w14:paraId="1F003431" w14:textId="5717487C" w:rsidR="0092521C" w:rsidRDefault="0092521C" w:rsidP="0092521C">
      <w:pPr>
        <w:pStyle w:val="BodyText"/>
        <w:spacing w:line="360" w:lineRule="auto"/>
        <w:ind w:firstLine="720"/>
        <w:jc w:val="both"/>
      </w:pPr>
      <w:r>
        <w:t>Kata "tabarrajna" dan "tabarruj" berasal dari akar kata "baraja" yang berarti "nampak" atau "meninggi". Dari sini, dapat dipahami bahwa arti dari kata tersebut juga mencakup kejelasan dan keterbukaan, karena sesuatu yang terlihat dan mencolok. Larangan terhadap tabarruj menunjukkan larangan bagi wanita untuk menampilkan perhiasan yang seharusnya tidak diperlihatkan, atau menggunakan hal-hal yang tidak pantas seperti make-up berlebihan atau berjalan dengan gerakan yang mencolok. Menampilkan sesuatu yang biasanya tidak diperlihatkan kepada orang-orang yang bukan mahramnya dapat menarik perhatian laki-laki lain dan memicu rangsangan atau gangguan dari mereka yang kurang terkendali.</w:t>
      </w:r>
      <w:r w:rsidR="00795D10">
        <w:rPr>
          <w:rStyle w:val="FootnoteReference"/>
        </w:rPr>
        <w:footnoteReference w:id="16"/>
      </w:r>
    </w:p>
    <w:p w14:paraId="5176A3CD" w14:textId="3C158CB2" w:rsidR="00795D10" w:rsidRDefault="0092521C" w:rsidP="0092521C">
      <w:pPr>
        <w:pStyle w:val="BodyText"/>
        <w:spacing w:line="360" w:lineRule="auto"/>
        <w:ind w:firstLine="720"/>
        <w:jc w:val="both"/>
      </w:pPr>
      <w:r>
        <w:t>Kata "al-Jahiliyyah" berasal dari kata "jahl yan" yang digunakan untuk menggambarkan suatu kondisi masyarakat yang mengabaikan nilai-nilai agama, melakukan hal-hal yang tidak wajar, terdorong oleh hawa nafsu, egoisme, atau pandangan yang sempit. Istilah ini tidak merujuk kepada masa sebelum Islam, tetapi kepada masa di mana ciri-ciri masyarakatnya bertentangan dengan ajaran Islam. Meskipun ada ayat yang mengartikan "Jahiliyyah" sebagai "masa lalu", yang merujuk kepada masa sebelum Nabi Nuh atau Nabi Ibrahim, namun lebih tepatnya digunakan untuk menggambarkan masa sebelum datangnya Islam yang dibawa oleh Nabi Muhammad saw. Pada masa itu, banyak masyarakat yang mengabaikan ajaran agama.Selain itu, adanya "Jahiliyyah yang lalu" juga menunjukkan kemungkinan adanya "Jahiliyyah kemudian", yang terjadi setelah masa Nabi Muhammad saw. Masa kini, menurut penilaian Sayyid Quthub dan banyak ulama lainnya, sering dianggap sebagai "Jahiliyyah modern"</w:t>
      </w:r>
      <w:r w:rsidR="00FE0A58">
        <w:t xml:space="preserve"> di mana masyarakat banyak yang mengabaikan ajaran agama dan terdorong oleh nilai-nilai materialisme serta hedonisme.</w:t>
      </w:r>
      <w:r w:rsidR="00795D10">
        <w:rPr>
          <w:rStyle w:val="FootnoteReference"/>
        </w:rPr>
        <w:footnoteReference w:id="17"/>
      </w:r>
    </w:p>
    <w:p w14:paraId="52257E2A" w14:textId="1A2DDC44" w:rsidR="002A1238" w:rsidRPr="002A1238" w:rsidRDefault="002A1238" w:rsidP="0092521C">
      <w:pPr>
        <w:pStyle w:val="BodyText"/>
        <w:spacing w:line="360" w:lineRule="auto"/>
        <w:ind w:firstLine="720"/>
        <w:jc w:val="both"/>
      </w:pPr>
      <w:r w:rsidRPr="002A1238">
        <w:t>Berhias yang dilarang dalam ayat tersebut tidak hanya membuka aurat, namun segala perbuatan yang dapat membangkitkan syahwat lawan jenis. Semua perbuatan berhias yang berlebihan, jika tidak menjadi kebiasaan di tempat tinggal seorang wanita, dan perhiasan itu menarik perhatian lawan jenisnya, maka disebut tabarruj, dan itu dilarang dalam Islam. Karena salah satu akibat dari tabarruj sering adalah adanya tindak pelecehan seksual yang dilakukan orang terhadap wanita.</w:t>
      </w:r>
      <w:r w:rsidR="00FE0A58">
        <w:rPr>
          <w:rStyle w:val="FootnoteReference"/>
        </w:rPr>
        <w:footnoteReference w:id="18"/>
      </w:r>
      <w:r w:rsidRPr="002A1238">
        <w:t xml:space="preserve"> Quraish Shihab mengutip dari penafsiran Ibnu Abbas yang menafsirkan ayat ini dengan cara menjelaskan suatu kisah yang menunjukkan adanya pesta yang dijadikan ajang tempat pertemuan antara laki-laki dan perempuan. Di dalam pesta itu, perempuan berhias dengan tujuan agar laki-laki yang melihatnya akan terpesona dan memberikan pujian dan pada akhirnya terjadilah maksiat. Jadi tabarruj menurut Ibnu Abbas adalah perbuatan perempuan yang secara sengaja dilakukan untuk merangsang syahwat laki-laki melalui perhiasan maupun kecantikannya.</w:t>
      </w:r>
      <w:r w:rsidR="00FE0A58">
        <w:rPr>
          <w:rStyle w:val="FootnoteReference"/>
        </w:rPr>
        <w:footnoteReference w:id="19"/>
      </w:r>
    </w:p>
    <w:p w14:paraId="0366004E" w14:textId="42A9B238" w:rsidR="002A1238" w:rsidRPr="002A1238" w:rsidRDefault="002A1238" w:rsidP="002A1238">
      <w:pPr>
        <w:pStyle w:val="BodyText"/>
        <w:spacing w:line="360" w:lineRule="auto"/>
        <w:ind w:firstLine="720"/>
        <w:jc w:val="both"/>
      </w:pPr>
      <w:r w:rsidRPr="002A1238">
        <w:t>Imam Al-Qurtubi mengatakan “makna ayat diatas adalah perintah untuk tinggal dan tetap di dalam rumah. Walaupun perintah dalam ayat ini untuk Istri-istri Nabi, namun selain mereka tetap termasuk dalam kandungan ayat ini namun secara makna”. Istri-istri Nabi diperintahkan oleh Alloh agar meninggalkan perbuatan yang mungkar padahal mereka adalah perempuan yang shalihah, Imannya benar dan termasuk perempuan paling suci, maka seharusnya perenpuan-perempuan selain mereka yang lebih patut mendapatkan perintah dari Alloh karena pengingkaran dan kekhawatiran dan munculnya fitnah terhadap perempuan ini lebih besar lagi.</w:t>
      </w:r>
      <w:r w:rsidR="00FE0A58">
        <w:rPr>
          <w:rStyle w:val="FootnoteReference"/>
        </w:rPr>
        <w:footnoteReference w:id="20"/>
      </w:r>
      <w:r w:rsidRPr="002A1238">
        <w:t xml:space="preserve">  Menurut Hamka dalam Tafsir Al-Ahzar dijelaskan bahwa hendaklah Istri-istri Nabi melihat bahwa rumahnya atau rumah suaminya adalah sebuah tempat tinggal yang nyaman dan tentram. Di dalamnya terdapat cinta dan kasih sayang. Menjadi ibu rumah tangga yang terhormat, tidak berlebihan dalm berhias dan tidak berhias seperti orang jahiliyyah yang bertujuan agar terlihat lebih cantik ketika dilihat oleh laki-laki lain. Istri-istri Nabi hendaknya berhias secara Islam, sopan,dan tidak mencolok. Ini digunakan sebagai pedoman bagi Istri-istri Nabi namun juga untuk semua perempuan-perempuan yang beriman.</w:t>
      </w:r>
      <w:r w:rsidR="00FE0A58">
        <w:rPr>
          <w:rStyle w:val="FootnoteReference"/>
        </w:rPr>
        <w:footnoteReference w:id="21"/>
      </w:r>
    </w:p>
    <w:p w14:paraId="7B266B27" w14:textId="4DC7AF19" w:rsidR="002A1238" w:rsidRPr="002A1238" w:rsidRDefault="002A1238" w:rsidP="002A1238">
      <w:pPr>
        <w:pStyle w:val="BodyText"/>
        <w:spacing w:line="360" w:lineRule="auto"/>
        <w:ind w:firstLine="720"/>
        <w:jc w:val="both"/>
      </w:pPr>
      <w:r w:rsidRPr="002A1238">
        <w:t>Dalam Tafsir Ayat-ayat Al-Ahkam Ibnu Al-‘Arabi sependapat dengan Imam Al-Qurtubi bahwa ayat 33 dalam Surah Al-Ahzab walaupun artinya ditujukan kepada Istri Nabi namun juga ditujukan kepada perempuan-perempuan lain, karena di dalam Islam telah dijelaskan tuntutan agar perempuan selalu berada di rumah dan tidak keluar ketika tidak ada kepentingan yang mendesak. Pendapat itu bertentangan dengan yang dijelaskan Ibnu Katsir dalam kitab tafsirnya. Menurut beliau ayat diatas menjelaskan larangan keluar rumah bagi perempuan ketika tidak ada kebutuhan yang dibenarkan Agama.</w:t>
      </w:r>
      <w:r w:rsidR="00FE0A58">
        <w:rPr>
          <w:rStyle w:val="FootnoteReference"/>
        </w:rPr>
        <w:footnoteReference w:id="22"/>
      </w:r>
    </w:p>
    <w:p w14:paraId="0BE9A790" w14:textId="370B75C9" w:rsidR="002A1238" w:rsidRDefault="002A1238" w:rsidP="002A1238">
      <w:pPr>
        <w:pStyle w:val="BodyText"/>
        <w:spacing w:line="360" w:lineRule="auto"/>
        <w:ind w:firstLine="720"/>
        <w:jc w:val="both"/>
      </w:pPr>
      <w:r w:rsidRPr="002A1238">
        <w:t>Al-Maududi, pemikir Islam Kontemporer di Pakistan sependapat dengan Ibnu Katsir, menurut pendapatnya yang telah ditulis dalam buku Al-Hijab karyanya, dijelaskan bahwa tempat perempuan ada di dalam rumah. Mereka tidak dibebaskan dari pekerjaan di luar rumah kecuali agar mereka terjaga kehormatannya di rumah. Adapun untuk keluar rumah diperbolehkan asalkan mereka memperhatikan syarat-syarat menjaga kesucian dan rasa malu. Dalam hal ini Al-Maududi hanya menjelaskan tentang keperluanartinya tidak harus kondisi yang mendesak dan darurat.</w:t>
      </w:r>
      <w:r w:rsidR="00FE0A58">
        <w:rPr>
          <w:rStyle w:val="FootnoteReference"/>
        </w:rPr>
        <w:footnoteReference w:id="23"/>
      </w:r>
      <w:r w:rsidRPr="002A1238">
        <w:t xml:space="preserve">  Thahir Ibnu Asyur berpendapat bahwa ayat 33 dalam Surah Al-Ahzab memang diperuntukkan kepada Istri Nabi, sementara untuk perempuan-perempuan lain menaati perintah tersebut merupakan sebuah kesempurnaan. Dengan ini, meksudnya tidak wajib namun jika perempuan menaatinya maka akan menjadi indah dan sempurna.</w:t>
      </w:r>
      <w:r w:rsidR="00FE0A58">
        <w:rPr>
          <w:rStyle w:val="FootnoteReference"/>
        </w:rPr>
        <w:footnoteReference w:id="24"/>
      </w:r>
    </w:p>
    <w:p w14:paraId="5C5A9113" w14:textId="77777777" w:rsidR="0092521C" w:rsidRPr="002A1238" w:rsidRDefault="0092521C" w:rsidP="002A1238">
      <w:pPr>
        <w:pStyle w:val="BodyText"/>
        <w:spacing w:line="360" w:lineRule="auto"/>
        <w:ind w:firstLine="720"/>
        <w:jc w:val="both"/>
      </w:pPr>
    </w:p>
    <w:p w14:paraId="1DCE0479" w14:textId="77777777" w:rsidR="002A1238" w:rsidRPr="002A1238" w:rsidRDefault="002A1238" w:rsidP="002A1238">
      <w:pPr>
        <w:pStyle w:val="BodyText"/>
        <w:spacing w:line="360" w:lineRule="auto"/>
        <w:jc w:val="both"/>
        <w:rPr>
          <w:b/>
          <w:bCs/>
        </w:rPr>
      </w:pPr>
      <w:r w:rsidRPr="002A1238">
        <w:rPr>
          <w:b/>
          <w:bCs/>
        </w:rPr>
        <w:t>Hukum Tabarruj</w:t>
      </w:r>
    </w:p>
    <w:p w14:paraId="038E628A" w14:textId="77777777" w:rsidR="002A1238" w:rsidRPr="002A1238" w:rsidRDefault="002A1238" w:rsidP="002A1238">
      <w:pPr>
        <w:pStyle w:val="BodyText"/>
        <w:spacing w:line="360" w:lineRule="auto"/>
        <w:ind w:firstLine="720"/>
        <w:jc w:val="both"/>
      </w:pPr>
      <w:r w:rsidRPr="002A1238">
        <w:t xml:space="preserve">Berdasarkan Al-Qur’an dan sunnah Rasulullah saw. dan kesepakatan ulama menjelaskan bahwa tabarruj hukumnya haram. Dalil- dalil yang menerangkan tentang keharaman tabarruj banyak dijelaskan di dalam ayat-ayat Al-Qur’an serta dalam hadist-hadist shahih dari Nabi saw. Keduanya merupakan sumber hukum paling utama dalam syariat Islam. </w:t>
      </w:r>
    </w:p>
    <w:p w14:paraId="0866EDAD" w14:textId="77777777" w:rsidR="002A1238" w:rsidRPr="002A1238" w:rsidRDefault="002A1238" w:rsidP="002A1238">
      <w:pPr>
        <w:pStyle w:val="BodyText"/>
        <w:spacing w:line="360" w:lineRule="auto"/>
        <w:ind w:firstLine="720"/>
        <w:jc w:val="both"/>
      </w:pPr>
      <w:r w:rsidRPr="002A1238">
        <w:t>Pertama: firman Allah swt. dalam surah Al-Ahzab ayat 33</w:t>
      </w:r>
    </w:p>
    <w:p w14:paraId="6FB8B965" w14:textId="77777777" w:rsidR="002A1238" w:rsidRPr="002A1238" w:rsidRDefault="002A1238" w:rsidP="002A1238">
      <w:pPr>
        <w:pStyle w:val="BodyText"/>
        <w:spacing w:line="360" w:lineRule="auto"/>
        <w:ind w:firstLine="720"/>
        <w:jc w:val="both"/>
      </w:pPr>
      <w:r w:rsidRPr="002A1238">
        <w:rPr>
          <w:rFonts w:cs="Times New Roman"/>
          <w:rtl/>
        </w:rPr>
        <w:t>وَقَرْنَ فِيْ بُيُوْتِكُنَّ وَلَا تَبَرَّجْنَ تَبَرُّجَ الْجَاهِلِيَّةِ الْاُوْلٰى</w:t>
      </w:r>
      <w:r w:rsidRPr="002A1238">
        <w:t xml:space="preserve"> </w:t>
      </w:r>
    </w:p>
    <w:p w14:paraId="1CAD56B3" w14:textId="3DD61266" w:rsidR="002A1238" w:rsidRPr="002A1238" w:rsidRDefault="002A1238" w:rsidP="00FE0A58">
      <w:pPr>
        <w:pStyle w:val="BodyText"/>
        <w:ind w:left="720"/>
        <w:jc w:val="both"/>
      </w:pPr>
      <w:r w:rsidRPr="002A1238">
        <w:t>Artinya: “Dan hendaklah kamu tetap tinggal di rumahmu dan janganlah kamu berhias dan bertingkah laku seperti orang-orang jahiliyah yang terdahulu”</w:t>
      </w:r>
      <w:r w:rsidR="00FE0A58">
        <w:t>.</w:t>
      </w:r>
      <w:r w:rsidR="00FE0A58">
        <w:rPr>
          <w:rStyle w:val="FootnoteReference"/>
        </w:rPr>
        <w:footnoteReference w:id="25"/>
      </w:r>
    </w:p>
    <w:p w14:paraId="40E3C002" w14:textId="77777777" w:rsidR="002A1238" w:rsidRPr="002A1238" w:rsidRDefault="002A1238" w:rsidP="002A1238">
      <w:pPr>
        <w:pStyle w:val="BodyText"/>
        <w:spacing w:line="360" w:lineRule="auto"/>
        <w:ind w:firstLine="720"/>
        <w:jc w:val="both"/>
      </w:pPr>
      <w:r w:rsidRPr="002A1238">
        <w:t xml:space="preserve"> </w:t>
      </w:r>
    </w:p>
    <w:p w14:paraId="7C49E24B" w14:textId="159EAA01" w:rsidR="002A1238" w:rsidRPr="002A1238" w:rsidRDefault="002A1238" w:rsidP="002A1238">
      <w:pPr>
        <w:pStyle w:val="BodyText"/>
        <w:spacing w:line="360" w:lineRule="auto"/>
        <w:ind w:firstLine="720"/>
        <w:jc w:val="both"/>
      </w:pPr>
      <w:r w:rsidRPr="002A1238">
        <w:t xml:space="preserve">Dalam hadist Rasulullah saw. yang memiliki arti </w:t>
      </w:r>
      <w:r w:rsidRPr="00FE0A58">
        <w:rPr>
          <w:i/>
          <w:iCs/>
        </w:rPr>
        <w:t>“Sesungguhnya seorang wanita adalah aurat, yang apabila keluar (dari rumah) maka setan akan mempercantik (orang yang) melihatnya”.</w:t>
      </w:r>
      <w:r w:rsidRPr="002A1238">
        <w:t xml:space="preserve"> (HR. Tirmidzi dan Al-Bazaar). </w:t>
      </w:r>
      <w:r w:rsidR="00FE0A58">
        <w:rPr>
          <w:rStyle w:val="FootnoteReference"/>
        </w:rPr>
        <w:footnoteReference w:id="26"/>
      </w:r>
    </w:p>
    <w:p w14:paraId="397B41B8" w14:textId="77777777" w:rsidR="002A1238" w:rsidRPr="002A1238" w:rsidRDefault="002A1238" w:rsidP="002A1238">
      <w:pPr>
        <w:pStyle w:val="BodyText"/>
        <w:spacing w:line="360" w:lineRule="auto"/>
        <w:ind w:firstLine="720"/>
        <w:jc w:val="both"/>
      </w:pPr>
    </w:p>
    <w:p w14:paraId="48950E07" w14:textId="77777777" w:rsidR="002A1238" w:rsidRPr="002A1238" w:rsidRDefault="002A1238" w:rsidP="002A1238">
      <w:pPr>
        <w:pStyle w:val="BodyText"/>
        <w:spacing w:line="360" w:lineRule="auto"/>
        <w:ind w:firstLine="720"/>
        <w:jc w:val="both"/>
      </w:pPr>
      <w:r w:rsidRPr="002A1238">
        <w:t>Kedua: firman Allah swt. dalam surah An-Nur ayat 31</w:t>
      </w:r>
    </w:p>
    <w:p w14:paraId="194808BF" w14:textId="77777777" w:rsidR="002A1238" w:rsidRPr="002A1238" w:rsidRDefault="002A1238" w:rsidP="002A1238">
      <w:pPr>
        <w:pStyle w:val="BodyText"/>
        <w:spacing w:line="360" w:lineRule="auto"/>
        <w:ind w:firstLine="720"/>
        <w:jc w:val="both"/>
      </w:pPr>
      <w:r w:rsidRPr="002A1238">
        <w:t xml:space="preserve"> </w:t>
      </w:r>
      <w:r w:rsidRPr="002A1238">
        <w:rPr>
          <w:rFonts w:cs="Times New Roman"/>
          <w:rtl/>
        </w:rPr>
        <w:t>وَلَا يُبْدِيْنَ زِيْنَتَهُنَّ اِلَّا مَا ظَهَرَ مِنْهَا</w:t>
      </w:r>
      <w:r w:rsidRPr="002A1238">
        <w:t xml:space="preserve"> </w:t>
      </w:r>
    </w:p>
    <w:p w14:paraId="7B8457EE" w14:textId="5ABC10DA" w:rsidR="002A1238" w:rsidRPr="002A1238" w:rsidRDefault="002A1238" w:rsidP="00FE0A58">
      <w:pPr>
        <w:pStyle w:val="BodyText"/>
        <w:ind w:left="720"/>
        <w:jc w:val="both"/>
      </w:pPr>
      <w:r w:rsidRPr="002A1238">
        <w:t>Artinya: “Dan janganlah mereka menampakkan perhiasannya , kecuali yang (biasa) Nampak dari padanya”</w:t>
      </w:r>
      <w:r w:rsidR="00FE0A58">
        <w:t>.</w:t>
      </w:r>
      <w:r w:rsidR="00BA114C">
        <w:rPr>
          <w:rStyle w:val="FootnoteReference"/>
        </w:rPr>
        <w:footnoteReference w:id="27"/>
      </w:r>
    </w:p>
    <w:p w14:paraId="1F2E4FC8" w14:textId="77777777" w:rsidR="002A1238" w:rsidRPr="002A1238" w:rsidRDefault="002A1238" w:rsidP="002A1238">
      <w:pPr>
        <w:pStyle w:val="BodyText"/>
        <w:spacing w:line="360" w:lineRule="auto"/>
        <w:ind w:firstLine="720"/>
        <w:jc w:val="both"/>
      </w:pPr>
    </w:p>
    <w:p w14:paraId="4EB76B1F" w14:textId="77777777" w:rsidR="002A1238" w:rsidRPr="002A1238" w:rsidRDefault="002A1238" w:rsidP="002A1238">
      <w:pPr>
        <w:pStyle w:val="BodyText"/>
        <w:spacing w:line="360" w:lineRule="auto"/>
        <w:ind w:firstLine="720"/>
        <w:jc w:val="both"/>
      </w:pPr>
      <w:r w:rsidRPr="002A1238">
        <w:t>Ketiga: diantara firman Allah yang lain terdapat dalam surah An-Nur ayat 60</w:t>
      </w:r>
    </w:p>
    <w:p w14:paraId="6D955854" w14:textId="77777777" w:rsidR="002A1238" w:rsidRPr="002A1238" w:rsidRDefault="002A1238" w:rsidP="002A1238">
      <w:pPr>
        <w:pStyle w:val="BodyText"/>
        <w:spacing w:line="360" w:lineRule="auto"/>
        <w:ind w:firstLine="720"/>
        <w:jc w:val="both"/>
      </w:pPr>
      <w:r w:rsidRPr="002A1238">
        <w:rPr>
          <w:rFonts w:cs="Times New Roman"/>
          <w:rtl/>
        </w:rPr>
        <w:t>وَالْقَوَاعِدُ مِنَ النِّسَاۤءِ الّٰتِيْ لَا يَرْجُوْنَ نِكَاحًا فَلَيْسَ عَلَيْهِنَّ جُنَاحٌ اَنْ يَّضَعْنَ ثِيَابَهُنَّ غَيْرَ مُتَبَرِّجٰتٍۢ بِزِيْنَةٍۗ وَاَنْ يَّسْتَعْفِفْنَ خَيْرٌ لَّهُنَّۗ وَاللّٰهُ سَمِيْعٌ عَلِيْمٌ</w:t>
      </w:r>
    </w:p>
    <w:p w14:paraId="156A8714" w14:textId="30A734A3" w:rsidR="002A1238" w:rsidRDefault="002A1238" w:rsidP="00FE0A58">
      <w:pPr>
        <w:pStyle w:val="BodyText"/>
        <w:tabs>
          <w:tab w:val="left" w:pos="720"/>
        </w:tabs>
        <w:ind w:left="720"/>
        <w:jc w:val="both"/>
      </w:pPr>
      <w:r w:rsidRPr="002A1238">
        <w:t>Artinya: “Dan perempuan-perempuan tua</w:t>
      </w:r>
      <w:r w:rsidR="00BA114C">
        <w:rPr>
          <w:rStyle w:val="FootnoteReference"/>
        </w:rPr>
        <w:footnoteReference w:id="28"/>
      </w:r>
      <w:r w:rsidRPr="002A1238">
        <w:t xml:space="preserve">  yang telah terhenti (dari haid dan mengandung) yang tiada lagi berkeinginan untuk kawin (lagi), tidaklah berdosa atas mereka menanggalkan pakaiannya</w:t>
      </w:r>
      <w:r w:rsidR="00BA114C">
        <w:rPr>
          <w:rStyle w:val="FootnoteReference"/>
        </w:rPr>
        <w:footnoteReference w:id="29"/>
      </w:r>
      <w:r w:rsidRPr="002A1238">
        <w:t xml:space="preserve">  dengan tidak bermaksud menampakkan perhiasan”.</w:t>
      </w:r>
    </w:p>
    <w:p w14:paraId="50BB1B32" w14:textId="77777777" w:rsidR="002A1238" w:rsidRPr="002A1238" w:rsidRDefault="002A1238" w:rsidP="002A1238">
      <w:pPr>
        <w:pStyle w:val="BodyText"/>
        <w:spacing w:line="360" w:lineRule="auto"/>
        <w:ind w:firstLine="720"/>
        <w:jc w:val="both"/>
      </w:pPr>
    </w:p>
    <w:p w14:paraId="32CCC7C8" w14:textId="77777777" w:rsidR="002A1238" w:rsidRPr="002A1238" w:rsidRDefault="002A1238" w:rsidP="002A1238">
      <w:pPr>
        <w:pStyle w:val="BodyText"/>
        <w:spacing w:line="360" w:lineRule="auto"/>
        <w:ind w:firstLine="90"/>
        <w:jc w:val="both"/>
        <w:rPr>
          <w:b/>
          <w:bCs/>
        </w:rPr>
      </w:pPr>
      <w:r w:rsidRPr="002A1238">
        <w:rPr>
          <w:b/>
          <w:bCs/>
        </w:rPr>
        <w:t>Bentuk-Bentuk Tabarruj</w:t>
      </w:r>
    </w:p>
    <w:p w14:paraId="7519225D" w14:textId="77777777" w:rsidR="002A1238" w:rsidRPr="002A1238" w:rsidRDefault="002A1238" w:rsidP="002A1238">
      <w:pPr>
        <w:pStyle w:val="BodyText"/>
        <w:spacing w:line="360" w:lineRule="auto"/>
        <w:ind w:firstLine="720"/>
        <w:jc w:val="both"/>
      </w:pPr>
      <w:r w:rsidRPr="002A1238">
        <w:t>Perbuatan perempuan pada zaman dahulu dengan zaman sekarang tidak jauh berbeda sekilas terlihat sama. Perbuatan dan tingkah laku perempuan zaman dahulu masih lebih baik dari zaman sekarang karena masih mempunyai malu, sedangkan perempuan masa kini banyak yang tidak memperhatikan sifat malunya. Beberapa hal yang termasuk bentuk tabarruj adalah:</w:t>
      </w:r>
    </w:p>
    <w:p w14:paraId="60483A67" w14:textId="7587BEE3" w:rsidR="002A1238" w:rsidRPr="002A1238" w:rsidRDefault="002A1238" w:rsidP="002A1238">
      <w:pPr>
        <w:pStyle w:val="BodyText"/>
        <w:numPr>
          <w:ilvl w:val="0"/>
          <w:numId w:val="7"/>
        </w:numPr>
        <w:spacing w:line="360" w:lineRule="auto"/>
        <w:jc w:val="both"/>
      </w:pPr>
      <w:r w:rsidRPr="002A1238">
        <w:t xml:space="preserve">Memakai jilbab yang tidak menutupi aurat . </w:t>
      </w:r>
    </w:p>
    <w:p w14:paraId="4DF55B8E" w14:textId="6F60BF44" w:rsidR="002A1238" w:rsidRPr="002A1238" w:rsidRDefault="002A1238" w:rsidP="002A1238">
      <w:pPr>
        <w:pStyle w:val="BodyText"/>
        <w:numPr>
          <w:ilvl w:val="0"/>
          <w:numId w:val="7"/>
        </w:numPr>
        <w:spacing w:line="360" w:lineRule="auto"/>
        <w:jc w:val="both"/>
      </w:pPr>
      <w:r w:rsidRPr="002A1238">
        <w:t xml:space="preserve">Memakai pakaian yang terpotong menjadi dua bagian. </w:t>
      </w:r>
    </w:p>
    <w:p w14:paraId="58C64421" w14:textId="6D9684FE" w:rsidR="002A1238" w:rsidRPr="002A1238" w:rsidRDefault="002A1238" w:rsidP="002A1238">
      <w:pPr>
        <w:pStyle w:val="BodyText"/>
        <w:numPr>
          <w:ilvl w:val="0"/>
          <w:numId w:val="7"/>
        </w:numPr>
        <w:spacing w:line="360" w:lineRule="auto"/>
        <w:jc w:val="both"/>
      </w:pPr>
      <w:r w:rsidRPr="002A1238">
        <w:t>Menyalahgunakan jilbab yang seharusnya digunakan untuk menutup perhiasan dan kecantikan dari laki-laki lain malahan digunakan sebagai perhiasan itu sendiri.</w:t>
      </w:r>
    </w:p>
    <w:p w14:paraId="49309542" w14:textId="4278F6B0" w:rsidR="002A1238" w:rsidRPr="002A1238" w:rsidRDefault="002A1238" w:rsidP="002A1238">
      <w:pPr>
        <w:pStyle w:val="BodyText"/>
        <w:numPr>
          <w:ilvl w:val="0"/>
          <w:numId w:val="7"/>
        </w:numPr>
        <w:spacing w:line="360" w:lineRule="auto"/>
        <w:jc w:val="both"/>
      </w:pPr>
      <w:r w:rsidRPr="002A1238">
        <w:t>Memakai jilbab dan pakaian yang tipis, menerawang dan tembus pandang.</w:t>
      </w:r>
    </w:p>
    <w:p w14:paraId="67DAD4B3" w14:textId="359CA5DD" w:rsidR="002A1238" w:rsidRPr="002A1238" w:rsidRDefault="002A1238" w:rsidP="002A1238">
      <w:pPr>
        <w:pStyle w:val="BodyText"/>
        <w:numPr>
          <w:ilvl w:val="0"/>
          <w:numId w:val="7"/>
        </w:numPr>
        <w:spacing w:line="360" w:lineRule="auto"/>
        <w:jc w:val="both"/>
      </w:pPr>
      <w:r w:rsidRPr="002A1238">
        <w:t>Perempuan yang keluar rumah menggunakan minyak wangi dengan tujuan agar laki-laki lain mencium harum baunya.</w:t>
      </w:r>
    </w:p>
    <w:p w14:paraId="511EBB0E" w14:textId="5593E6A7" w:rsidR="002A1238" w:rsidRPr="002A1238" w:rsidRDefault="002A1238" w:rsidP="002A1238">
      <w:pPr>
        <w:pStyle w:val="BodyText"/>
        <w:numPr>
          <w:ilvl w:val="0"/>
          <w:numId w:val="7"/>
        </w:numPr>
        <w:spacing w:line="360" w:lineRule="auto"/>
        <w:jc w:val="both"/>
      </w:pPr>
      <w:r w:rsidRPr="002A1238">
        <w:t>Memakai pakaian yang tidak sesuai dengan model perempuan pada umumnya dengan tujuan membanggakan diri.</w:t>
      </w:r>
    </w:p>
    <w:p w14:paraId="22FAF4BC" w14:textId="77777777" w:rsidR="002A1238" w:rsidRPr="002A1238" w:rsidRDefault="002A1238" w:rsidP="002A1238">
      <w:pPr>
        <w:pStyle w:val="BodyText"/>
        <w:numPr>
          <w:ilvl w:val="1"/>
          <w:numId w:val="7"/>
        </w:numPr>
        <w:spacing w:line="360" w:lineRule="auto"/>
        <w:jc w:val="both"/>
      </w:pPr>
      <w:r w:rsidRPr="002A1238">
        <w:t>Adapun dampak negatif yang diperoleh perempuan yang melakukan tabarruj adalah:</w:t>
      </w:r>
    </w:p>
    <w:p w14:paraId="108B9250" w14:textId="468857C6" w:rsidR="002A1238" w:rsidRPr="002A1238" w:rsidRDefault="002A1238" w:rsidP="002A1238">
      <w:pPr>
        <w:pStyle w:val="BodyText"/>
        <w:numPr>
          <w:ilvl w:val="2"/>
          <w:numId w:val="7"/>
        </w:numPr>
        <w:spacing w:line="360" w:lineRule="auto"/>
        <w:jc w:val="both"/>
      </w:pPr>
      <w:r w:rsidRPr="002A1238">
        <w:t>Mendapatkan laknat dari Allah dan terancam masuk neraka.</w:t>
      </w:r>
    </w:p>
    <w:p w14:paraId="5578BB83" w14:textId="21835C72" w:rsidR="002A1238" w:rsidRPr="002A1238" w:rsidRDefault="002A1238" w:rsidP="002A1238">
      <w:pPr>
        <w:pStyle w:val="BodyText"/>
        <w:numPr>
          <w:ilvl w:val="2"/>
          <w:numId w:val="7"/>
        </w:numPr>
        <w:spacing w:line="360" w:lineRule="auto"/>
        <w:jc w:val="both"/>
      </w:pPr>
      <w:r w:rsidRPr="002A1238">
        <w:t>Tabarruj merukan salah satu ciri kebodohan.</w:t>
      </w:r>
    </w:p>
    <w:p w14:paraId="13BE7020" w14:textId="477E4F57" w:rsidR="002A1238" w:rsidRPr="002A1238" w:rsidRDefault="002A1238" w:rsidP="002A1238">
      <w:pPr>
        <w:pStyle w:val="BodyText"/>
        <w:numPr>
          <w:ilvl w:val="2"/>
          <w:numId w:val="7"/>
        </w:numPr>
        <w:spacing w:line="360" w:lineRule="auto"/>
        <w:jc w:val="both"/>
      </w:pPr>
      <w:r w:rsidRPr="002A1238">
        <w:t>Sebagai perempuan muslimah seharusnya mengetahui bahwa tabarruj merupakan ciri kebodohan dan keterbelakangan.</w:t>
      </w:r>
    </w:p>
    <w:p w14:paraId="0BE045CF" w14:textId="53B692D9" w:rsidR="002A1238" w:rsidRPr="002A1238" w:rsidRDefault="002A1238" w:rsidP="002A1238">
      <w:pPr>
        <w:pStyle w:val="BodyText"/>
        <w:numPr>
          <w:ilvl w:val="2"/>
          <w:numId w:val="7"/>
        </w:numPr>
        <w:spacing w:line="360" w:lineRule="auto"/>
        <w:jc w:val="both"/>
      </w:pPr>
      <w:r w:rsidRPr="002A1238">
        <w:t>Memperlihatkan sifat aslinya.</w:t>
      </w:r>
    </w:p>
    <w:p w14:paraId="35E2C2EF" w14:textId="1E2C6B4C" w:rsidR="002A1238" w:rsidRPr="002A1238" w:rsidRDefault="002A1238" w:rsidP="002A1238">
      <w:pPr>
        <w:pStyle w:val="BodyText"/>
        <w:numPr>
          <w:ilvl w:val="2"/>
          <w:numId w:val="7"/>
        </w:numPr>
        <w:spacing w:line="360" w:lineRule="auto"/>
        <w:jc w:val="both"/>
      </w:pPr>
      <w:r w:rsidRPr="002A1238">
        <w:t>Tabarruj merupakan sunnah iblis dan syariat kaum Yahudi.</w:t>
      </w:r>
    </w:p>
    <w:p w14:paraId="575D0F28" w14:textId="6050BD65" w:rsidR="002A1238" w:rsidRPr="002A1238" w:rsidRDefault="002A1238" w:rsidP="002A1238">
      <w:pPr>
        <w:pStyle w:val="BodyText"/>
        <w:numPr>
          <w:ilvl w:val="2"/>
          <w:numId w:val="7"/>
        </w:numPr>
        <w:spacing w:line="360" w:lineRule="auto"/>
        <w:jc w:val="both"/>
      </w:pPr>
      <w:r w:rsidRPr="002A1238">
        <w:t>Tabarruj merupakan salah satu perbuatan keji.</w:t>
      </w:r>
      <w:r w:rsidR="00BA114C">
        <w:rPr>
          <w:rStyle w:val="FootnoteReference"/>
        </w:rPr>
        <w:footnoteReference w:id="30"/>
      </w:r>
      <w:r w:rsidRPr="002A1238">
        <w:t xml:space="preserve"> </w:t>
      </w:r>
    </w:p>
    <w:p w14:paraId="097B770A" w14:textId="77777777" w:rsidR="002A1238" w:rsidRDefault="002A1238" w:rsidP="002A1238">
      <w:pPr>
        <w:pStyle w:val="BodyText"/>
        <w:spacing w:line="360" w:lineRule="auto"/>
        <w:ind w:firstLine="720"/>
        <w:jc w:val="center"/>
        <w:rPr>
          <w:b/>
          <w:bCs/>
        </w:rPr>
      </w:pPr>
    </w:p>
    <w:p w14:paraId="6C495D55" w14:textId="77777777" w:rsidR="002A1238" w:rsidRDefault="002A1238" w:rsidP="002A1238">
      <w:pPr>
        <w:pStyle w:val="BodyText"/>
        <w:spacing w:line="360" w:lineRule="auto"/>
        <w:ind w:firstLine="720"/>
        <w:jc w:val="center"/>
        <w:rPr>
          <w:b/>
          <w:bCs/>
        </w:rPr>
      </w:pPr>
    </w:p>
    <w:p w14:paraId="281B648C" w14:textId="60926C15" w:rsidR="002A1238" w:rsidRPr="002A1238" w:rsidRDefault="002A1238" w:rsidP="00D369AB">
      <w:pPr>
        <w:pStyle w:val="BodyText"/>
        <w:spacing w:line="360" w:lineRule="auto"/>
        <w:ind w:firstLine="720"/>
        <w:rPr>
          <w:b/>
          <w:bCs/>
        </w:rPr>
      </w:pPr>
      <w:r w:rsidRPr="002A1238">
        <w:rPr>
          <w:b/>
          <w:bCs/>
        </w:rPr>
        <w:t>Pembahasan</w:t>
      </w:r>
    </w:p>
    <w:p w14:paraId="3DED21BB" w14:textId="41D7AF45" w:rsidR="002A1238" w:rsidRPr="002A1238" w:rsidRDefault="002A1238" w:rsidP="002A1238">
      <w:pPr>
        <w:pStyle w:val="BodyText"/>
        <w:spacing w:line="360" w:lineRule="auto"/>
        <w:ind w:firstLine="720"/>
        <w:jc w:val="both"/>
      </w:pPr>
      <w:r w:rsidRPr="002A1238">
        <w:t xml:space="preserve">Menurut M. Quraish Shihab dalam surah Al-Ahzab ayat 33 kata qarna  berasal dari kata qarra-yuqarru yang berarti tetaplah kamu sekalian. Kata qarna diambil dari kata iqrarna ada juga yang berpendapat kata qarna diambil dari kata qurrat ‘ain yang berarti sesuatu yang menyenangkan hati. Dari penjelasan diatas berarti perintah dalam ayat ini berarti biarlah rumah kamu menjadi tempat yang menyenangkan hati kamu. Ini juga dapat diartikan perintah untuk berada dirumah dan tidak keluar rumah bila tidak ada kepentingan. Ada beberapa ulama yang membaca ayat diatas dengan kasrah pada huruf qaf yakni qirna. Ini diambil dari kata qarar yang berarti berada di tempat. Dengan ini mengatakan bahwa sebaiknya Istri-istri Nabi berada di tempat yang dalam atau rumah mereka. Ibn ‘Athiyyah memungkinkan dalam memahami kata qirna terambil dari kata waqar yakni wibawa dan hormat, yang berarti perintah untuk berada di rumah sehingga mampu menunjukan kewibawaan. </w:t>
      </w:r>
      <w:r w:rsidR="00F1176C">
        <w:rPr>
          <w:rStyle w:val="FootnoteReference"/>
        </w:rPr>
        <w:footnoteReference w:id="31"/>
      </w:r>
    </w:p>
    <w:p w14:paraId="49782006" w14:textId="05172946" w:rsidR="00D84CB5" w:rsidRDefault="00D84CB5" w:rsidP="002A1238">
      <w:pPr>
        <w:pStyle w:val="BodyText"/>
        <w:spacing w:line="360" w:lineRule="auto"/>
        <w:ind w:firstLine="720"/>
        <w:jc w:val="both"/>
      </w:pPr>
      <w:r w:rsidRPr="00D84CB5">
        <w:t>Kata "tabarrajna" dan "tabarruj" berasal dari akar kata "baraja", yang berarti "nampak" atau "meninggi". Dari sini, dipahami bahwa kata tersebut juga merujuk pada kejelasan dan keterbukaan, karena sesuatu yang terlihat dan mencolok. Larangan terhadap tabarruj menunjukkan larangan bagi wanita untuk menampilkan perhiasan yang seharusnya tidak diperlihatkan, atau menggunakan hal-hal yang tidak pantas seperti make-up berlebihan atau berjalan dengan gerakan yang mencolok. Menampilkan sesuatu yang biasanya tidak diperlihatkan kepada mahramnya dapat menarik perhatian laki-laki lain dan memicu rangsangan atau gangguan dari mereka yang kurang terkendali.</w:t>
      </w:r>
      <w:r w:rsidR="00F1176C">
        <w:rPr>
          <w:rStyle w:val="FootnoteReference"/>
        </w:rPr>
        <w:footnoteReference w:id="32"/>
      </w:r>
    </w:p>
    <w:p w14:paraId="590E3095" w14:textId="1D6E25A8" w:rsidR="002A1238" w:rsidRPr="002A1238" w:rsidRDefault="002A1238" w:rsidP="002A1238">
      <w:pPr>
        <w:pStyle w:val="BodyText"/>
        <w:spacing w:line="360" w:lineRule="auto"/>
        <w:ind w:firstLine="720"/>
        <w:jc w:val="both"/>
      </w:pPr>
      <w:r w:rsidRPr="002A1238">
        <w:t xml:space="preserve">Kata al-Jahiliyyah terambil dari kata jahl yan digunakan untuk menggambarkan suatu kondisi masyarakat mengabaikan nilai-nilai agama, melakukan hal tidak wajar, dengan hawa nafsu, kepentigan sendiri, ataupun kesempitan pandangan. Sebab itu, istilah ini tidak menunjuk ke masa sebelum Islam, akan tetapi menunjuk masa yang ciri-ciri masyarakatnya bertentangan dengan ajaran Islam. Ada ayat yang mengartikan kata Jahiliyyah dengan al-ula yang berarti masa lalu dan banyak penafsiran yang menjelaskan tentang masa lalu. Ada yang menunjuk masa Nabi Nuh ada juga yang menunjuk masa Nabi Ibrahim. Namun lebih tepatnya adalah masa sebelum datangnya Islam yang di bawa oleh Nabi Muhammad saw. pada masa itu masyarakatnya banyak yang mengabaikan ajaran agama. Di amping itu, adanya “Jahiliyyah yang lalu” mengisyaratkan akan adanya “Jahiliyyah kemudian”. Ini terjadi  setelah masa Nabi Muhammad saw. Masa kini dinilai oleh Sayyid Quthub dan banyak ulama lain, sebagai Jahiliyyah modern . </w:t>
      </w:r>
      <w:r w:rsidR="00F1176C">
        <w:rPr>
          <w:rStyle w:val="FootnoteReference"/>
        </w:rPr>
        <w:footnoteReference w:id="33"/>
      </w:r>
    </w:p>
    <w:p w14:paraId="106ABC3E" w14:textId="63F687DF" w:rsidR="002A1238" w:rsidRPr="002A1238" w:rsidRDefault="002A1238" w:rsidP="002A1238">
      <w:pPr>
        <w:pStyle w:val="BodyText"/>
        <w:spacing w:line="360" w:lineRule="auto"/>
        <w:ind w:firstLine="720"/>
        <w:jc w:val="both"/>
      </w:pPr>
      <w:r w:rsidRPr="002A1238">
        <w:t>Dalam surah An-Nur ayat 60, M. Quraish Shihb menjelaskan kata ar-rijs pada awalnya berarti kotoran. Kotoran dapat mencakup empat hal, seperti kotoran berdasar pandangan agama, akal, tabiat manusia, atau ketiga hal tersebut. Khamr dan perjudian adalah kotoran menurut pandangan agama dan akal. Debu di baju dan keringat yang melekat adalah kotoran dalam pandangan tabiat manusia. Sedangkan bangkai adalah kotoran dalam pandangan agama, akal dan juga tabiat manusia. Kata al-bait secara harfiah berarti rumah. Yang dimaksud di sini adalah rumah tempat tinggal istri-istri Nabi Muhammad saw. Rumah itu beliau bangun berdampingan atau menyatu dengan masjid. Ia terdiri dari sembilan kamar yang sangat sederhana.</w:t>
      </w:r>
      <w:r w:rsidR="00F1176C">
        <w:rPr>
          <w:rStyle w:val="FootnoteReference"/>
        </w:rPr>
        <w:footnoteReference w:id="34"/>
      </w:r>
    </w:p>
    <w:p w14:paraId="69C45084" w14:textId="4899E23C" w:rsidR="002A1238" w:rsidRDefault="002A1238" w:rsidP="002A1238">
      <w:pPr>
        <w:pStyle w:val="BodyText"/>
        <w:spacing w:line="360" w:lineRule="auto"/>
        <w:ind w:firstLine="720"/>
        <w:jc w:val="both"/>
      </w:pPr>
      <w:r w:rsidRPr="002A1238">
        <w:t xml:space="preserve">Selanjutnya M. Quraish Shihab menjelaskan Kata al-qawā’id adalah bentuk jamak dari kata qā’id yang menunjukkan kepada perempuan yang lebih tua. Kata tersebut pada awalnya digunakan dalam arti duduk. Wanita yang lebih tua dinamai Qā’id karena dia terduduk di rumah, tak mampu lagi berjalan, atau terduduk karena tidak dapat lagi melahirkan akibat ketuaan. Maksud dari kata (ats-tsiyab) dala ayat ini adalah bagian dari pakaian mereka, diantaranya jilbab yang menutupi kepala atau pakaian longgar yang menutupi pakaian yang dipakai untuk menutup aurat. Dalam ayat ini diperbolehkan seorang perempuan tua untuk tidak memakai pakaian luarnya karena sudah tidak memiliki keinginan menikah lagi dan tidak memiliki birahi lagi. Kata mutabarrijat terambil dari kata tabarruj yaitu keterbukaan. Larangan ber-tabarruj disini berarti larangan menampakkan “perhiasan” yang biasanya tidak dinampakkan oleh perempuan baik-baik, atau memakai sesuatu yang tidak wajar dipakai. Seperti menggunaan make-up berlebihan, berjalan dengan lenggak-lenggok dan sebagainya. Menampakkan sesuatu yang biasanya tidak dinampakkan, dapat mengundang rasa kagum laki-laki lain yang dapat menimbulkan rangsangan atau mengakibatkan gangguan dari yang usil . </w:t>
      </w:r>
      <w:r w:rsidR="00F1176C">
        <w:rPr>
          <w:rStyle w:val="FootnoteReference"/>
        </w:rPr>
        <w:footnoteReference w:id="35"/>
      </w:r>
    </w:p>
    <w:p w14:paraId="7A943A3B" w14:textId="77777777" w:rsidR="002A1238" w:rsidRDefault="002A1238" w:rsidP="002A1238">
      <w:pPr>
        <w:pStyle w:val="BodyText"/>
        <w:spacing w:line="360" w:lineRule="auto"/>
        <w:jc w:val="both"/>
      </w:pPr>
    </w:p>
    <w:p w14:paraId="2B51C86C" w14:textId="20BC8057" w:rsidR="002A1238" w:rsidRPr="002A1238" w:rsidRDefault="002A1238" w:rsidP="002A1238">
      <w:pPr>
        <w:pStyle w:val="BodyText"/>
        <w:spacing w:line="360" w:lineRule="auto"/>
        <w:jc w:val="both"/>
        <w:rPr>
          <w:b/>
          <w:bCs/>
        </w:rPr>
      </w:pPr>
      <w:r w:rsidRPr="002A1238">
        <w:rPr>
          <w:b/>
          <w:bCs/>
        </w:rPr>
        <w:t>Tabarruj Dalam Perspektif Tafsir Al-Mishbah</w:t>
      </w:r>
    </w:p>
    <w:p w14:paraId="0631CD49" w14:textId="09ECAE9F" w:rsidR="00F1176C" w:rsidRDefault="0092521C" w:rsidP="0092521C">
      <w:pPr>
        <w:pStyle w:val="BodyText"/>
        <w:spacing w:line="360" w:lineRule="auto"/>
        <w:ind w:firstLine="720"/>
        <w:jc w:val="both"/>
      </w:pPr>
      <w:r>
        <w:t>Dalam Surah Al-Ahzab ayat 33, terdapat dua perintah hukum: pertama, perintah untuk tetap berada di dalam rumah, dan kedua, larangan terhadap tabarruj (berhias berlebihan) bagi perempuan. Allah SWT melarang perempuan untuk bertabarruj sebagaimana yang dilakukan oleh perempuan pada masa jahiliyah terdahulu, sebagaimana disebutkan dalam firman-Nya dalam ayat tersebut</w:t>
      </w:r>
      <w:r w:rsidR="00F1176C">
        <w:rPr>
          <w:rStyle w:val="FootnoteReference"/>
        </w:rPr>
        <w:footnoteReference w:id="36"/>
      </w:r>
      <w:r>
        <w:t xml:space="preserve">. </w:t>
      </w:r>
      <w:r w:rsidR="00F1176C" w:rsidRPr="00F1176C">
        <w:t>Allah swt telah memerintahkan istri-istri Nabi, untuk menjauhi perbuatan-perbuatan munkar, padahal istr-istri Nabi adalah wanita yang paling saleh, beriman dan suci. Yang secara nalar, kemungkinan mereka melakukan kemunkaran sangat kecil (karena keshalehan dan kesuciannya itu). Maka dengan demikian, perempuan-perempuan muslimah selain mereka yang keshalehan dan keimanannya tidak seperti mereka, lebih utama dan pertama untuk menerima larangan-larangan dan perintah-perintah Allah swt, ini adalah perintah yang universal, berlaku untuk istri-istri Nabi dan yang lainnya, seperti yang tertera dalam surat al-Ahzāb ayat 33 tersebut.</w:t>
      </w:r>
      <w:r w:rsidR="00F1176C">
        <w:rPr>
          <w:rStyle w:val="FootnoteReference"/>
        </w:rPr>
        <w:footnoteReference w:id="37"/>
      </w:r>
    </w:p>
    <w:p w14:paraId="1D8BC489" w14:textId="0DE786FA" w:rsidR="0092521C" w:rsidRDefault="0092521C" w:rsidP="0092521C">
      <w:pPr>
        <w:pStyle w:val="BodyText"/>
        <w:spacing w:line="360" w:lineRule="auto"/>
        <w:ind w:firstLine="720"/>
        <w:jc w:val="both"/>
      </w:pPr>
      <w:r>
        <w:t>Dalam Surah An-Nur ayat 60, perempuan diperintahkan untuk tidak menampakkan perhiasan mereka, kecuali yang biasanya terlihat. Bagi perempuan tua yang sudah tidak memiliki hasrat untuk menikah lagi, diperbolehkan untuk tidak mengenakan pakaian luar yang biasanya mereka pakai di atas pakaian lain yang menutupi aurat mereka. Ayat ini menunjukkan kemudahan khusus bagi perempuan tua yang tidak seketat perempuan muda dalam berpakaian.</w:t>
      </w:r>
      <w:r w:rsidR="00F1176C">
        <w:rPr>
          <w:rStyle w:val="FootnoteReference"/>
        </w:rPr>
        <w:footnoteReference w:id="38"/>
      </w:r>
    </w:p>
    <w:p w14:paraId="00EDA979" w14:textId="7A21E562" w:rsidR="0092521C" w:rsidRDefault="0092521C" w:rsidP="0092521C">
      <w:pPr>
        <w:pStyle w:val="BodyText"/>
        <w:spacing w:line="360" w:lineRule="auto"/>
        <w:ind w:firstLine="720"/>
        <w:jc w:val="both"/>
      </w:pPr>
      <w:r>
        <w:t xml:space="preserve">Dalam menafsirkan ayat-ayat tersebut, M. Quraish Shihab mengutip beberapa pendapat ulama terkemuka. Meskipun banyak mufassir yang telah menafsirkan kata tabarruj dalam dua ayat tersebut, namun dalam tafsir Al-Mishbah, M. Quraish Shihab menjelaskan ayat-ayat tersebut secara rinci. Namun, kelemahan dari tafsir Al-Mishbah adalah kurangnya penjelasan tentang pendapat ulama sebelumnya yang dikutip oleh M. Quraish Shihab, sehingga terkesan sebagai hasil pemikiran beliau sendiri. Meskipun begitu, tafsir Al-Mishbah juga mencakup ijtihad pemikiran sendiri dari M. Quraish Shihab. </w:t>
      </w:r>
    </w:p>
    <w:p w14:paraId="613EC852" w14:textId="388B3B68" w:rsidR="002A1238" w:rsidRDefault="0092521C" w:rsidP="0092521C">
      <w:pPr>
        <w:pStyle w:val="BodyText"/>
        <w:spacing w:line="360" w:lineRule="auto"/>
        <w:ind w:firstLine="720"/>
        <w:jc w:val="both"/>
      </w:pPr>
      <w:r>
        <w:t>Berbagai kitab tafsir yang ditulis oleh ulama klasik dan kontemporer telah berusaha menjelaskan makna tabarruj. Secara umum, mereka sepakat bahwa tabarruj adalah perilaku perempuan yang menampilkan perhiasan atau kecantikan tubuhnya kepada orang lain, terutama kaum laki-laki.</w:t>
      </w:r>
    </w:p>
    <w:p w14:paraId="62ADCD11" w14:textId="77777777" w:rsidR="0092521C" w:rsidRPr="002A1238" w:rsidRDefault="0092521C" w:rsidP="0092521C">
      <w:pPr>
        <w:pStyle w:val="BodyText"/>
        <w:spacing w:line="360" w:lineRule="auto"/>
        <w:ind w:firstLine="720"/>
        <w:jc w:val="both"/>
      </w:pPr>
    </w:p>
    <w:p w14:paraId="553013BC" w14:textId="77777777" w:rsidR="002A1238" w:rsidRPr="002A1238" w:rsidRDefault="002A1238" w:rsidP="002A1238">
      <w:pPr>
        <w:pStyle w:val="BodyText"/>
        <w:spacing w:line="360" w:lineRule="auto"/>
        <w:jc w:val="both"/>
        <w:rPr>
          <w:b/>
          <w:bCs/>
        </w:rPr>
      </w:pPr>
      <w:r w:rsidRPr="002A1238">
        <w:rPr>
          <w:b/>
          <w:bCs/>
        </w:rPr>
        <w:t xml:space="preserve">Fenomena Tabarruj Dalam Media Sosial </w:t>
      </w:r>
    </w:p>
    <w:p w14:paraId="3071F9BA" w14:textId="77777777" w:rsidR="002A1238" w:rsidRPr="002A1238" w:rsidRDefault="002A1238" w:rsidP="002A1238">
      <w:pPr>
        <w:pStyle w:val="BodyText"/>
        <w:spacing w:line="360" w:lineRule="auto"/>
        <w:ind w:firstLine="720"/>
        <w:jc w:val="both"/>
      </w:pPr>
      <w:r w:rsidRPr="002A1238">
        <w:t>Tabarruj adalah memperlihatkan sesuatu yang tidak biasanya diperlihatkan. dalam media sosial seperti facebook perilaku tabarruj hampir mirip dengan perilaku flexing . Flexing adalah perilaku seseorang yang menunjukkan suatu hal yang dimiliki untuk memperlihatkan kelebihan dan keunggulannya kepada orang lain. Praktik flexing dalam media sosial dapat mengakibatkan rasa iri dan dengki bahkan mampu menyebabkan rasa kecemburuan bagi orang lain. Sedangkan bagi pelaku flexing mampu memicu sifat sombong. Sifat sombong adalah sifat yang bertentangan dengan akhlak mulia yang diajarkan dalam Islam. Larangan melakukan flexing terdapat dalam surah Luqman ayat 18:</w:t>
      </w:r>
    </w:p>
    <w:p w14:paraId="1F8613AA" w14:textId="77777777" w:rsidR="002A1238" w:rsidRPr="002A1238" w:rsidRDefault="002A1238" w:rsidP="002A1238">
      <w:pPr>
        <w:pStyle w:val="BodyText"/>
        <w:spacing w:line="360" w:lineRule="auto"/>
        <w:ind w:firstLine="720"/>
        <w:jc w:val="both"/>
      </w:pPr>
      <w:r w:rsidRPr="002A1238">
        <w:rPr>
          <w:rFonts w:cs="Times New Roman"/>
          <w:rtl/>
        </w:rPr>
        <w:t>وَلَا تُصَعِّرْ خَدَّكَ لِلنَّاسِ وَلَا تَمْشِ فِى الْاَرْضِ مَرَحًاۗ اِنَّ اللّٰهَ لَا يُحِبُّ كُلَّ مُخْتَالٍ فَخُوْرٍۚ</w:t>
      </w:r>
    </w:p>
    <w:p w14:paraId="75AD11FC" w14:textId="77777777" w:rsidR="002A1238" w:rsidRPr="002A1238" w:rsidRDefault="002A1238" w:rsidP="00F1176C">
      <w:pPr>
        <w:pStyle w:val="BodyText"/>
        <w:ind w:left="720"/>
        <w:jc w:val="both"/>
      </w:pPr>
      <w:r w:rsidRPr="002A1238">
        <w:t>Artinya : “Janganlah memalingkan wajahmu dari manusia (karena sombong) dan janganlah berjalan di bumi ini dengan angkuh. Sesungguhnya Allah tidak menyukai setiap orang yang sombong lagi sangat membanggakan diri.”</w:t>
      </w:r>
    </w:p>
    <w:p w14:paraId="0B97D75A" w14:textId="10B6F192" w:rsidR="002A1238" w:rsidRPr="002A1238" w:rsidRDefault="002A1238" w:rsidP="002A1238">
      <w:pPr>
        <w:pStyle w:val="BodyText"/>
        <w:spacing w:line="360" w:lineRule="auto"/>
        <w:ind w:firstLine="720"/>
        <w:jc w:val="both"/>
      </w:pPr>
      <w:r w:rsidRPr="002A1238">
        <w:t>Dalam tafsir Al-Mishbah jilid 11, M. Quraish Shihab menjelaskan bahwa seorang yang bijak, Lukman Al-Hakim menasihati anaknya agar memelihara akhlak rendah hati dan menjauhi pamer serta sombong kepada oang lain. Flexing tanpa disadari dapat memberikan pengaruh buruk sehingga Islam memberikan arahan agar tidak tidak melakukan tindakan tabarruj, flexing, pamer dan riya untuk kebaikan diri sendiri dan juga orang lain.</w:t>
      </w:r>
      <w:r w:rsidR="00F1176C">
        <w:rPr>
          <w:rStyle w:val="FootnoteReference"/>
        </w:rPr>
        <w:footnoteReference w:id="39"/>
      </w:r>
    </w:p>
    <w:p w14:paraId="5B2D5343" w14:textId="77777777" w:rsidR="002A1238" w:rsidRPr="002A1238" w:rsidRDefault="002A1238" w:rsidP="002A1238">
      <w:pPr>
        <w:pStyle w:val="BodyText"/>
        <w:spacing w:line="360" w:lineRule="auto"/>
        <w:ind w:firstLine="720"/>
        <w:jc w:val="both"/>
      </w:pPr>
    </w:p>
    <w:p w14:paraId="74E01AB0" w14:textId="77777777" w:rsidR="002A1238" w:rsidRPr="002A1238" w:rsidRDefault="002A1238" w:rsidP="002A1238">
      <w:pPr>
        <w:pStyle w:val="BodyText"/>
        <w:spacing w:line="360" w:lineRule="auto"/>
        <w:jc w:val="both"/>
        <w:rPr>
          <w:b/>
          <w:bCs/>
        </w:rPr>
      </w:pPr>
      <w:r w:rsidRPr="002A1238">
        <w:rPr>
          <w:b/>
          <w:bCs/>
        </w:rPr>
        <w:t>Relevansi Penafsiran Tabarruj Dengan Media Sosial</w:t>
      </w:r>
    </w:p>
    <w:p w14:paraId="546CBA9D" w14:textId="6E34936D" w:rsidR="002A1238" w:rsidRPr="002A1238" w:rsidRDefault="002A1238" w:rsidP="002A1238">
      <w:pPr>
        <w:pStyle w:val="BodyText"/>
        <w:spacing w:line="360" w:lineRule="auto"/>
        <w:ind w:firstLine="720"/>
        <w:jc w:val="both"/>
      </w:pPr>
      <w:r w:rsidRPr="002A1238">
        <w:t>Perkembangan teknologi membawa perubahan bagi kehidupan manusia. Bahkan banyak manusia yang lebih suka berinteraksi dalam media. Media sosial yang paling sering digunakan oleh masyarakat salah satunya adalah Facebook yang kadang kala menyebabkan permasalahan didalamnya. Penggunaan foto pribadi dalam akun Facebook digunakan untuk meyakinkan pengguna lain bahwa akun tersebut miliknya. Yusuf Qardhawi menjelaskan bahwa “tabarruj memiliki arti berpakaian terbuka dan menampakkan tubuh untuk dilihat”. Sedangkan Al-Zamakhyari mengatakan bahwa “tabarruj hakikatnya adalah menampakkan sesuatu yang seharusnya disembunyikan”. Sesuatu yang seharusnya disembunyikan bisa berupa bagian tubuh tertentu, gerakan anggota tubuh, cara berbicara, cara berjalan maupun perhiasan. tabarruj memiliki ciri dan gambaran yang telah diketahui oleh orang zaman dahulu maupun sekarang.</w:t>
      </w:r>
      <w:r w:rsidR="00F1176C">
        <w:rPr>
          <w:rStyle w:val="FootnoteReference"/>
        </w:rPr>
        <w:footnoteReference w:id="40"/>
      </w:r>
    </w:p>
    <w:p w14:paraId="6A3FE96E" w14:textId="77777777" w:rsidR="002A1238" w:rsidRDefault="002A1238" w:rsidP="002A1238">
      <w:pPr>
        <w:pStyle w:val="BodyText"/>
        <w:spacing w:line="360" w:lineRule="auto"/>
        <w:ind w:firstLine="720"/>
        <w:jc w:val="both"/>
      </w:pPr>
      <w:r w:rsidRPr="002A1238">
        <w:t>Media sosial adalah ruang umum yang sebagian besar penggunanya laki-laki. Bila akun media sosial meiliki teman laki-laki mahramnya saja itu jauh dari tindakan tabarruj namun ketika berteman dengan lelaki siapapun maka termasuk dalam tindakan tabarruj yang dilarang agama. Kenapa penulis membahas tentang media sosial? terutama facebook?, karena media sosial Facebook merupakan situs umum yang dapat dilihat oleh semua kalangan baik laki-laki maupun perempuan. ketika seorang perempuan mengunggah fotonya di akun Facebooknya walupun yang terlihat hanya sebagian wajahnya, tetap saja bertentangan dengan perintah Allah swt untuk menutup diri dari lawan jenis.</w:t>
      </w:r>
    </w:p>
    <w:p w14:paraId="337BCFAB" w14:textId="77777777" w:rsidR="002A1238" w:rsidRPr="002A1238" w:rsidRDefault="002A1238" w:rsidP="002A1238">
      <w:pPr>
        <w:pStyle w:val="BodyText"/>
        <w:spacing w:line="360" w:lineRule="auto"/>
        <w:ind w:firstLine="720"/>
        <w:jc w:val="both"/>
      </w:pPr>
    </w:p>
    <w:p w14:paraId="1DBE6FFA" w14:textId="77777777" w:rsidR="005A2D5A" w:rsidRPr="001D54D3" w:rsidRDefault="00000000" w:rsidP="002A1238">
      <w:pPr>
        <w:pStyle w:val="Heading1"/>
        <w:spacing w:line="360" w:lineRule="auto"/>
      </w:pPr>
      <w:r w:rsidRPr="001D54D3">
        <w:rPr>
          <w:spacing w:val="-2"/>
        </w:rPr>
        <w:t>KESIMPULAN</w:t>
      </w:r>
    </w:p>
    <w:p w14:paraId="117E9F12" w14:textId="77777777" w:rsidR="002A1238" w:rsidRPr="002A1238" w:rsidRDefault="002A1238" w:rsidP="002A1238">
      <w:pPr>
        <w:pStyle w:val="Heading1"/>
        <w:spacing w:line="360" w:lineRule="auto"/>
        <w:ind w:left="0" w:firstLine="720"/>
        <w:jc w:val="both"/>
        <w:rPr>
          <w:b w:val="0"/>
          <w:bCs w:val="0"/>
        </w:rPr>
      </w:pPr>
      <w:r w:rsidRPr="002A1238">
        <w:rPr>
          <w:b w:val="0"/>
          <w:bCs w:val="0"/>
        </w:rPr>
        <w:t>Dalam penafsiran M. Quraish Shihab terhadap Surah Al-Ahzab ayat 33 dan Surah An-Nur ayat 60, larangan terhadap tabarruj diartikan sebagai larangan menampilkan perhiasan yang tidak seharusnya diperlihatkan oleh perempuan yang berakhlak baik, atau menggunakan hal-hal yang tidak wajar seperti make-up berlebihan atau berjalan dengan gaya yang mencolok. Meskipun perintah tersebut awalnya ditujukan kepada istri-istri Nabi, tetapi pesan moral yang terkandung di dalamnya bersifat universal dan berlaku bagi semua perempuan muslim, di mana pun dan kapan pun.</w:t>
      </w:r>
    </w:p>
    <w:p w14:paraId="71D46584" w14:textId="77777777" w:rsidR="002A1238" w:rsidRDefault="002A1238" w:rsidP="002A1238">
      <w:pPr>
        <w:pStyle w:val="Heading1"/>
        <w:spacing w:line="360" w:lineRule="auto"/>
        <w:ind w:left="0" w:firstLine="720"/>
        <w:jc w:val="both"/>
        <w:rPr>
          <w:b w:val="0"/>
          <w:bCs w:val="0"/>
        </w:rPr>
      </w:pPr>
      <w:r w:rsidRPr="002A1238">
        <w:rPr>
          <w:b w:val="0"/>
          <w:bCs w:val="0"/>
        </w:rPr>
        <w:t>Perkembangan teknologi dan media sosial telah membawa perubahan besar dalam kehidupan manusia, di mana banyak orang lebih memilih berinteraksi melalui platform tersebut. Salah satu media sosial yang sangat populer adalah Facebook, yang digunakan oleh masyarakat di seluruh dunia. Perkembangan ini membawa relevansi fenomena tabarruj dalam konteks kehidupan saat ini, di mana perempuan memiliki kebebasan untuk mengunggah foto-foto mereka ke media sosial dengan tujuan memamerkan kecantikan mereka kepada orang lain, dengan harapan mendapat pengakuan dan pujian dari pengguna media sosial lainnya.</w:t>
      </w:r>
    </w:p>
    <w:p w14:paraId="5ACF3E6C" w14:textId="77777777" w:rsidR="002A1238" w:rsidRDefault="002A1238" w:rsidP="002A1238">
      <w:pPr>
        <w:pStyle w:val="Heading1"/>
        <w:spacing w:line="360" w:lineRule="auto"/>
        <w:ind w:left="0" w:firstLine="720"/>
        <w:jc w:val="both"/>
        <w:rPr>
          <w:b w:val="0"/>
          <w:bCs w:val="0"/>
        </w:rPr>
      </w:pPr>
    </w:p>
    <w:p w14:paraId="3635CE0B" w14:textId="7C476A8B" w:rsidR="005A2D5A" w:rsidRDefault="00000000" w:rsidP="002A1238">
      <w:pPr>
        <w:pStyle w:val="Heading1"/>
        <w:spacing w:line="360" w:lineRule="auto"/>
        <w:ind w:left="0" w:firstLine="180"/>
        <w:jc w:val="both"/>
        <w:rPr>
          <w:spacing w:val="-2"/>
        </w:rPr>
      </w:pPr>
      <w:r w:rsidRPr="001D54D3">
        <w:t>DAFTAR</w:t>
      </w:r>
      <w:r w:rsidRPr="001D54D3">
        <w:rPr>
          <w:spacing w:val="-5"/>
        </w:rPr>
        <w:t xml:space="preserve"> </w:t>
      </w:r>
      <w:r w:rsidRPr="001D54D3">
        <w:rPr>
          <w:spacing w:val="-2"/>
        </w:rPr>
        <w:t>PUSTAKA</w:t>
      </w:r>
    </w:p>
    <w:p w14:paraId="726B2E1A" w14:textId="21ECAF24"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Alfarmawi, Abdul Hayy. </w:t>
      </w:r>
      <w:r w:rsidRPr="00F1176C">
        <w:rPr>
          <w:rFonts w:asciiTheme="majorHAnsi" w:hAnsiTheme="majorHAnsi" w:cs="Times New Roman"/>
          <w:i/>
          <w:sz w:val="24"/>
          <w:szCs w:val="24"/>
        </w:rPr>
        <w:t>“Metode Tafsir Maudhu’I”</w:t>
      </w:r>
      <w:r w:rsidRPr="00F1176C">
        <w:rPr>
          <w:rFonts w:asciiTheme="majorHAnsi" w:hAnsiTheme="majorHAnsi" w:cs="Times New Roman"/>
          <w:sz w:val="24"/>
          <w:szCs w:val="24"/>
        </w:rPr>
        <w:t>. ( Bandung; Cv Pustaka Setia, 2002).</w:t>
      </w:r>
    </w:p>
    <w:p w14:paraId="14D49A60"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Al Marudi, Imad Zaki. </w:t>
      </w:r>
      <w:r w:rsidRPr="00F1176C">
        <w:rPr>
          <w:rFonts w:asciiTheme="majorHAnsi" w:hAnsiTheme="majorHAnsi" w:cs="Times New Roman"/>
          <w:i/>
          <w:sz w:val="24"/>
          <w:szCs w:val="24"/>
        </w:rPr>
        <w:t>“Tafsir Wanita”</w:t>
      </w:r>
      <w:r w:rsidRPr="00F1176C">
        <w:rPr>
          <w:rFonts w:asciiTheme="majorHAnsi" w:hAnsiTheme="majorHAnsi" w:cs="Times New Roman"/>
          <w:sz w:val="24"/>
          <w:szCs w:val="24"/>
        </w:rPr>
        <w:t>. (Jakarta Timur: Pustaka Al-Kautsar, 2004) cet. ke-1.</w:t>
      </w:r>
    </w:p>
    <w:p w14:paraId="3B332353" w14:textId="77777777" w:rsidR="002A1238" w:rsidRPr="00F1176C" w:rsidRDefault="002A1238" w:rsidP="002A1238">
      <w:pPr>
        <w:pStyle w:val="ListParagraph"/>
        <w:spacing w:line="360" w:lineRule="auto"/>
        <w:ind w:left="720" w:hanging="720"/>
        <w:rPr>
          <w:rFonts w:asciiTheme="majorHAnsi" w:hAnsiTheme="majorHAnsi" w:cs="Times New Roman"/>
          <w:sz w:val="24"/>
          <w:szCs w:val="24"/>
        </w:rPr>
      </w:pPr>
      <w:r w:rsidRPr="00F1176C">
        <w:rPr>
          <w:rFonts w:asciiTheme="majorHAnsi" w:hAnsiTheme="majorHAnsi" w:cs="Times New Roman"/>
          <w:sz w:val="24"/>
          <w:szCs w:val="24"/>
        </w:rPr>
        <w:t xml:space="preserve">Asikh, Muhammad Nur. </w:t>
      </w:r>
      <w:r w:rsidRPr="00F1176C">
        <w:rPr>
          <w:rFonts w:asciiTheme="majorHAnsi" w:hAnsiTheme="majorHAnsi" w:cs="Times New Roman"/>
          <w:i/>
          <w:sz w:val="24"/>
          <w:szCs w:val="24"/>
        </w:rPr>
        <w:t>“Makna Tabarruj Menurut M. Quraish Shihab Dalam Tafir Al-Misbah dan Relevansinya Di Era Sekarang”</w:t>
      </w:r>
      <w:r w:rsidRPr="00F1176C">
        <w:rPr>
          <w:rFonts w:asciiTheme="majorHAnsi" w:hAnsiTheme="majorHAnsi" w:cs="Times New Roman"/>
          <w:sz w:val="24"/>
          <w:szCs w:val="24"/>
        </w:rPr>
        <w:t xml:space="preserve">. Skripsi S1 Fakultas Ushuluddin dan Humaniora UIN Walisongo Semarang 2018. </w:t>
      </w:r>
    </w:p>
    <w:p w14:paraId="33DF07D0" w14:textId="77777777" w:rsidR="002A1238" w:rsidRPr="00F1176C" w:rsidRDefault="002A1238" w:rsidP="002A1238">
      <w:pPr>
        <w:pStyle w:val="ListParagraph"/>
        <w:spacing w:line="360" w:lineRule="auto"/>
        <w:ind w:left="720" w:hanging="720"/>
        <w:rPr>
          <w:rFonts w:asciiTheme="majorHAnsi" w:hAnsiTheme="majorHAnsi" w:cs="Times New Roman"/>
          <w:sz w:val="24"/>
          <w:szCs w:val="24"/>
        </w:rPr>
      </w:pPr>
      <w:r w:rsidRPr="00F1176C">
        <w:rPr>
          <w:rFonts w:asciiTheme="majorHAnsi" w:hAnsiTheme="majorHAnsi" w:cs="Times New Roman"/>
          <w:sz w:val="24"/>
          <w:szCs w:val="24"/>
        </w:rPr>
        <w:t>Azmi, Vera Nur. “</w:t>
      </w:r>
      <w:r w:rsidRPr="00F1176C">
        <w:rPr>
          <w:rFonts w:asciiTheme="majorHAnsi" w:hAnsiTheme="majorHAnsi" w:cs="Times New Roman"/>
          <w:i/>
          <w:sz w:val="24"/>
          <w:szCs w:val="24"/>
        </w:rPr>
        <w:t>Makna Tabarruj Perspektif Hadits dalam Kitab Syarah Shahih Muslim karya Imam An-Nawawi”</w:t>
      </w:r>
      <w:r w:rsidRPr="00F1176C">
        <w:rPr>
          <w:rFonts w:asciiTheme="majorHAnsi" w:hAnsiTheme="majorHAnsi" w:cs="Times New Roman"/>
          <w:sz w:val="24"/>
          <w:szCs w:val="24"/>
        </w:rPr>
        <w:t>. Bandung, Jurnal Ilmu Ushuluddin, 2022.</w:t>
      </w:r>
    </w:p>
    <w:p w14:paraId="0E3B762E" w14:textId="77777777" w:rsidR="002A1238" w:rsidRPr="00F1176C" w:rsidRDefault="002A1238" w:rsidP="002A1238">
      <w:pPr>
        <w:tabs>
          <w:tab w:val="left" w:pos="930"/>
        </w:tabs>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Hadist riwayat muslim no.2128.</w:t>
      </w:r>
    </w:p>
    <w:p w14:paraId="1A317E5B"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Harapan, Hakim Muda. </w:t>
      </w:r>
      <w:r w:rsidRPr="00F1176C">
        <w:rPr>
          <w:rFonts w:asciiTheme="majorHAnsi" w:hAnsiTheme="majorHAnsi" w:cs="Times New Roman"/>
          <w:i/>
          <w:sz w:val="24"/>
          <w:szCs w:val="24"/>
        </w:rPr>
        <w:t>“Rahasia Al-Qur’an”</w:t>
      </w:r>
      <w:r w:rsidRPr="00F1176C">
        <w:rPr>
          <w:rFonts w:asciiTheme="majorHAnsi" w:hAnsiTheme="majorHAnsi" w:cs="Times New Roman"/>
          <w:sz w:val="24"/>
          <w:szCs w:val="24"/>
        </w:rPr>
        <w:t>. (Depok: Darul Hikmah, 2007).</w:t>
      </w:r>
    </w:p>
    <w:p w14:paraId="77C93302"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Hidayati, Widiati dan Faisal Saleh. </w:t>
      </w:r>
      <w:r w:rsidRPr="00F1176C">
        <w:rPr>
          <w:rFonts w:asciiTheme="majorHAnsi" w:hAnsiTheme="majorHAnsi" w:cs="Times New Roman"/>
          <w:i/>
          <w:sz w:val="24"/>
          <w:szCs w:val="24"/>
        </w:rPr>
        <w:t>“Nilai-Nilai Pendidikan Akhlak Wanita Dari Para Istri Nabi (Analisis Surah Al-Ahzab Ayat 28-35 Dalam Kitab Tafsir Al-Ahzar Karya Buya Hamka)”</w:t>
      </w:r>
      <w:r w:rsidRPr="00F1176C">
        <w:rPr>
          <w:rFonts w:asciiTheme="majorHAnsi" w:hAnsiTheme="majorHAnsi" w:cs="Times New Roman"/>
          <w:sz w:val="24"/>
          <w:szCs w:val="24"/>
        </w:rPr>
        <w:t>. Dalam Jurnal El-Tarbawi, Vol. 14, No. 2, 2021.</w:t>
      </w:r>
    </w:p>
    <w:p w14:paraId="7CB6DEA4"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Hine, Christine. 2000. </w:t>
      </w:r>
      <w:r w:rsidRPr="00F1176C">
        <w:rPr>
          <w:rFonts w:asciiTheme="majorHAnsi" w:hAnsiTheme="majorHAnsi" w:cs="Times New Roman"/>
          <w:i/>
          <w:sz w:val="24"/>
          <w:szCs w:val="24"/>
        </w:rPr>
        <w:t>“ Virtual Etnograpy”</w:t>
      </w:r>
      <w:r w:rsidRPr="00F1176C">
        <w:rPr>
          <w:rFonts w:asciiTheme="majorHAnsi" w:hAnsiTheme="majorHAnsi" w:cs="Times New Roman"/>
          <w:sz w:val="24"/>
          <w:szCs w:val="24"/>
        </w:rPr>
        <w:t>, (London: SAGE Publications Ltd).</w:t>
      </w:r>
    </w:p>
    <w:p w14:paraId="0E8830CB"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Hitami, Munzir. </w:t>
      </w:r>
      <w:r w:rsidRPr="00F1176C">
        <w:rPr>
          <w:rFonts w:asciiTheme="majorHAnsi" w:hAnsiTheme="majorHAnsi" w:cs="Times New Roman"/>
          <w:i/>
          <w:sz w:val="24"/>
          <w:szCs w:val="24"/>
        </w:rPr>
        <w:t>“Pengantar Studi Al-Qur’an dan Pendekatan”</w:t>
      </w:r>
      <w:r w:rsidRPr="00F1176C">
        <w:rPr>
          <w:rFonts w:asciiTheme="majorHAnsi" w:hAnsiTheme="majorHAnsi" w:cs="Times New Roman"/>
          <w:sz w:val="24"/>
          <w:szCs w:val="24"/>
        </w:rPr>
        <w:t>. (LKIS: Yogyakarta,2012).</w:t>
      </w:r>
    </w:p>
    <w:p w14:paraId="19C48EED"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Ichwan, Mohammad Nor, </w:t>
      </w:r>
      <w:r w:rsidRPr="00F1176C">
        <w:rPr>
          <w:rFonts w:asciiTheme="majorHAnsi" w:hAnsiTheme="majorHAnsi" w:cs="Times New Roman"/>
          <w:i/>
          <w:sz w:val="24"/>
          <w:szCs w:val="24"/>
        </w:rPr>
        <w:t>“Metode Dan Corak Tafsir Al-Misbah Karya Prof. M. Quraish Shihab”</w:t>
      </w:r>
      <w:r w:rsidRPr="00F1176C">
        <w:rPr>
          <w:rFonts w:asciiTheme="majorHAnsi" w:hAnsiTheme="majorHAnsi" w:cs="Times New Roman"/>
          <w:sz w:val="24"/>
          <w:szCs w:val="24"/>
        </w:rPr>
        <w:t>. Makalah Program Doktor Pengkajian Islam Sekolah Pasca Sarjana UIN Syarif Hidayatullah Jakarta, 2017.</w:t>
      </w:r>
    </w:p>
    <w:p w14:paraId="24ABCFE6" w14:textId="776C112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Kement</w:t>
      </w:r>
      <w:r w:rsidR="00903CCB" w:rsidRPr="00F1176C">
        <w:rPr>
          <w:rFonts w:asciiTheme="majorHAnsi" w:hAnsiTheme="majorHAnsi" w:cs="Times New Roman"/>
          <w:sz w:val="24"/>
          <w:szCs w:val="24"/>
        </w:rPr>
        <w:t>e</w:t>
      </w:r>
      <w:r w:rsidRPr="00F1176C">
        <w:rPr>
          <w:rFonts w:asciiTheme="majorHAnsi" w:hAnsiTheme="majorHAnsi" w:cs="Times New Roman"/>
          <w:sz w:val="24"/>
          <w:szCs w:val="24"/>
        </w:rPr>
        <w:t>rian Agama Republik Indonesia, Mushaf Al-Qur’an Terjemahan, Jakarta: CV Pustaka Jaya Ilmu, (2013 )</w:t>
      </w:r>
    </w:p>
    <w:p w14:paraId="6E536E10"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Khasanah, Makhfidatul. </w:t>
      </w:r>
      <w:r w:rsidRPr="00F1176C">
        <w:rPr>
          <w:rFonts w:asciiTheme="majorHAnsi" w:hAnsiTheme="majorHAnsi" w:cs="Times New Roman"/>
          <w:i/>
          <w:sz w:val="24"/>
          <w:szCs w:val="24"/>
        </w:rPr>
        <w:t>“Adab Berhias Muslimah Perspektif Ma’na-Cum-Maghza tentang Tabarruj dalam QS. Al-Ahzab Ayat 33”</w:t>
      </w:r>
      <w:r w:rsidRPr="00F1176C">
        <w:rPr>
          <w:rFonts w:asciiTheme="majorHAnsi" w:hAnsiTheme="majorHAnsi" w:cs="Times New Roman"/>
          <w:sz w:val="24"/>
          <w:szCs w:val="24"/>
        </w:rPr>
        <w:t>. Dalam Al-Adabiya: Jurnal Kebudayaan dan Keagamaan, Vol. 16, No. 2, Desember 2021.</w:t>
      </w:r>
    </w:p>
    <w:p w14:paraId="11B24EE8"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Kurniawan, Romafi Wahyu.  </w:t>
      </w:r>
      <w:hyperlink r:id="rId10" w:history="1">
        <w:r w:rsidRPr="00F1176C">
          <w:rPr>
            <w:rStyle w:val="Hyperlink"/>
            <w:rFonts w:asciiTheme="majorHAnsi" w:hAnsiTheme="majorHAnsi" w:cs="Times New Roman"/>
            <w:sz w:val="24"/>
            <w:szCs w:val="24"/>
          </w:rPr>
          <w:t>https://www.google.com/amp/s/www.jawapos.com/lifestyle/amp/011773713/hukum-flexing-menurut-islam-ternyata-bisa-berdampak-seperti-ini-untuk-orang-lain</w:t>
        </w:r>
      </w:hyperlink>
      <w:r w:rsidRPr="00F1176C">
        <w:rPr>
          <w:rFonts w:asciiTheme="majorHAnsi" w:hAnsiTheme="majorHAnsi" w:cs="Times New Roman"/>
          <w:sz w:val="24"/>
          <w:szCs w:val="24"/>
        </w:rPr>
        <w:t>.</w:t>
      </w:r>
    </w:p>
    <w:p w14:paraId="0089CDC3" w14:textId="77777777" w:rsidR="002A1238" w:rsidRPr="00F1176C" w:rsidRDefault="002A1238" w:rsidP="002A1238">
      <w:pPr>
        <w:pStyle w:val="FootnoteText"/>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Muhammad bin ‘Isa bin Saurah bin Musa bin ad-Dhahak, Al-Jami’ Al-Kabir, (Berut: Dar Gharib Islami, 1998 H), juz 6.</w:t>
      </w:r>
    </w:p>
    <w:p w14:paraId="41A75D26"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Mirnawati. </w:t>
      </w:r>
      <w:r w:rsidRPr="00F1176C">
        <w:rPr>
          <w:rFonts w:asciiTheme="majorHAnsi" w:hAnsiTheme="majorHAnsi" w:cs="Times New Roman"/>
          <w:i/>
          <w:sz w:val="24"/>
          <w:szCs w:val="24"/>
        </w:rPr>
        <w:t>“Pemahaman Ayat-Ayat  Tentang Tabarruj (Studi Pendekatan Tematik)”</w:t>
      </w:r>
      <w:r w:rsidRPr="00F1176C">
        <w:rPr>
          <w:rFonts w:asciiTheme="majorHAnsi" w:hAnsiTheme="majorHAnsi" w:cs="Times New Roman"/>
          <w:sz w:val="24"/>
          <w:szCs w:val="24"/>
        </w:rPr>
        <w:t>. Skripsi S1 Fakultas Dakwah Komunikasi dan Ushuluddin IAIN Curup, 2018.</w:t>
      </w:r>
    </w:p>
    <w:p w14:paraId="4CAD5432"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Nasar, M. Fuad. </w:t>
      </w:r>
      <w:r w:rsidRPr="00F1176C">
        <w:rPr>
          <w:rFonts w:asciiTheme="majorHAnsi" w:hAnsiTheme="majorHAnsi" w:cs="Times New Roman"/>
          <w:i/>
          <w:sz w:val="24"/>
          <w:szCs w:val="24"/>
        </w:rPr>
        <w:t>“Al-Qur’an dan Ilmu Pengetahuan”</w:t>
      </w:r>
      <w:r w:rsidRPr="00F1176C">
        <w:rPr>
          <w:rFonts w:asciiTheme="majorHAnsi" w:hAnsiTheme="majorHAnsi" w:cs="Times New Roman"/>
          <w:sz w:val="24"/>
          <w:szCs w:val="24"/>
        </w:rPr>
        <w:t xml:space="preserve"> . (</w:t>
      </w:r>
      <w:hyperlink r:id="rId11" w:history="1">
        <w:r w:rsidRPr="00F1176C">
          <w:rPr>
            <w:rStyle w:val="Hyperlink"/>
            <w:rFonts w:asciiTheme="majorHAnsi" w:hAnsiTheme="majorHAnsi" w:cs="Times New Roman"/>
            <w:sz w:val="24"/>
            <w:szCs w:val="24"/>
          </w:rPr>
          <w:t>https://kemenag.go.id/opini/al-quran-dan-ilmu-pengetahuan-eeubhf</w:t>
        </w:r>
      </w:hyperlink>
      <w:r w:rsidRPr="00F1176C">
        <w:rPr>
          <w:rFonts w:asciiTheme="majorHAnsi" w:hAnsiTheme="majorHAnsi" w:cs="Times New Roman"/>
          <w:sz w:val="24"/>
          <w:szCs w:val="24"/>
        </w:rPr>
        <w:t xml:space="preserve">).  </w:t>
      </w:r>
    </w:p>
    <w:p w14:paraId="3083DBDB" w14:textId="77777777" w:rsidR="002A1238" w:rsidRPr="00F1176C" w:rsidRDefault="002A1238" w:rsidP="002A1238">
      <w:pPr>
        <w:pStyle w:val="FootnoteText"/>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Nata, Abuddin. </w:t>
      </w:r>
      <w:r w:rsidRPr="00F1176C">
        <w:rPr>
          <w:rFonts w:asciiTheme="majorHAnsi" w:hAnsiTheme="majorHAnsi" w:cs="Times New Roman"/>
          <w:i/>
          <w:sz w:val="24"/>
          <w:szCs w:val="24"/>
        </w:rPr>
        <w:t>“Tokoh-tokoh pembaharuan Islam di Indonesia”</w:t>
      </w:r>
      <w:r w:rsidRPr="00F1176C">
        <w:rPr>
          <w:rFonts w:asciiTheme="majorHAnsi" w:hAnsiTheme="majorHAnsi" w:cs="Times New Roman"/>
          <w:sz w:val="24"/>
          <w:szCs w:val="24"/>
        </w:rPr>
        <w:t xml:space="preserve">. (Jakarta: Raja Grafindo Prees, 2005), h. 362. </w:t>
      </w:r>
    </w:p>
    <w:p w14:paraId="4D96244B"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Qardhawi, Yusuf.  et.al. </w:t>
      </w:r>
      <w:r w:rsidRPr="00F1176C">
        <w:rPr>
          <w:rFonts w:asciiTheme="majorHAnsi" w:hAnsiTheme="majorHAnsi" w:cs="Times New Roman"/>
          <w:i/>
          <w:sz w:val="24"/>
          <w:szCs w:val="24"/>
        </w:rPr>
        <w:t>“Ensiklopedi Muslimah Modern”</w:t>
      </w:r>
      <w:r w:rsidRPr="00F1176C">
        <w:rPr>
          <w:rFonts w:asciiTheme="majorHAnsi" w:hAnsiTheme="majorHAnsi" w:cs="Times New Roman"/>
          <w:sz w:val="24"/>
          <w:szCs w:val="24"/>
        </w:rPr>
        <w:t>. Pustaka Iman, Depok, 2009.</w:t>
      </w:r>
    </w:p>
    <w:p w14:paraId="13FB32E1"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Seknun, Muslih Muhaimin. </w:t>
      </w:r>
      <w:r w:rsidRPr="00F1176C">
        <w:rPr>
          <w:rFonts w:asciiTheme="majorHAnsi" w:hAnsiTheme="majorHAnsi" w:cs="Times New Roman"/>
          <w:i/>
          <w:sz w:val="24"/>
          <w:szCs w:val="24"/>
        </w:rPr>
        <w:t>“Eksploitasi Wanita Di Era Kontemporer (Studi Analisa Tafsir Tabarruj Dalam Al-Quran)”</w:t>
      </w:r>
      <w:r w:rsidRPr="00F1176C">
        <w:rPr>
          <w:rFonts w:asciiTheme="majorHAnsi" w:hAnsiTheme="majorHAnsi" w:cs="Times New Roman"/>
          <w:sz w:val="24"/>
          <w:szCs w:val="24"/>
        </w:rPr>
        <w:t>. (Skripsi S1 Fakultas Ushuluddin UIN Syarif Hidayatullah Jakarta, 2018).</w:t>
      </w:r>
    </w:p>
    <w:p w14:paraId="54DDA3C6" w14:textId="77777777" w:rsidR="002A1238" w:rsidRPr="00F1176C" w:rsidRDefault="002A1238" w:rsidP="002A1238">
      <w:pPr>
        <w:spacing w:line="360" w:lineRule="auto"/>
        <w:ind w:left="720" w:hanging="720"/>
        <w:jc w:val="both"/>
        <w:rPr>
          <w:rFonts w:asciiTheme="majorHAnsi" w:hAnsiTheme="majorHAnsi" w:cs="Times New Roman"/>
          <w:sz w:val="24"/>
          <w:szCs w:val="24"/>
        </w:rPr>
      </w:pPr>
      <w:r w:rsidRPr="00F1176C">
        <w:rPr>
          <w:rFonts w:asciiTheme="majorHAnsi" w:hAnsiTheme="majorHAnsi" w:cs="Times New Roman"/>
          <w:sz w:val="24"/>
          <w:szCs w:val="24"/>
        </w:rPr>
        <w:t xml:space="preserve">Shihab, M. Quraish.  </w:t>
      </w:r>
      <w:r w:rsidRPr="00F1176C">
        <w:rPr>
          <w:rFonts w:asciiTheme="majorHAnsi" w:hAnsiTheme="majorHAnsi" w:cs="Times New Roman"/>
          <w:i/>
          <w:sz w:val="24"/>
          <w:szCs w:val="24"/>
        </w:rPr>
        <w:t>“Tafsir Al-Misbah”</w:t>
      </w:r>
      <w:r w:rsidRPr="00F1176C">
        <w:rPr>
          <w:rFonts w:asciiTheme="majorHAnsi" w:hAnsiTheme="majorHAnsi" w:cs="Times New Roman"/>
          <w:sz w:val="24"/>
          <w:szCs w:val="24"/>
        </w:rPr>
        <w:t>. (Tangerang, Lentera Hati, 2002).</w:t>
      </w:r>
    </w:p>
    <w:p w14:paraId="19062EA5" w14:textId="5629D8CF" w:rsidR="002A1238" w:rsidRPr="0094648D" w:rsidRDefault="002A1238" w:rsidP="00F1176C">
      <w:pPr>
        <w:spacing w:line="360" w:lineRule="auto"/>
        <w:ind w:left="720" w:hanging="720"/>
        <w:jc w:val="both"/>
        <w:rPr>
          <w:rFonts w:ascii="Times New Roman" w:hAnsi="Times New Roman" w:cs="Times New Roman"/>
          <w:b/>
          <w:sz w:val="24"/>
          <w:szCs w:val="24"/>
          <w:lang w:val="id-ID"/>
        </w:rPr>
      </w:pPr>
      <w:r w:rsidRPr="00F1176C">
        <w:rPr>
          <w:rFonts w:asciiTheme="majorHAnsi" w:hAnsiTheme="majorHAnsi" w:cs="Times New Roman"/>
          <w:sz w:val="24"/>
          <w:szCs w:val="24"/>
        </w:rPr>
        <w:t xml:space="preserve">Syaikh Abdul Aziz bin Abdullah bin Baaz. </w:t>
      </w:r>
      <w:r w:rsidRPr="00F1176C">
        <w:rPr>
          <w:rFonts w:asciiTheme="majorHAnsi" w:hAnsiTheme="majorHAnsi" w:cs="Times New Roman"/>
          <w:i/>
          <w:sz w:val="24"/>
          <w:szCs w:val="24"/>
        </w:rPr>
        <w:t>“Fatwa-Fatwa Kewanitaan”</w:t>
      </w:r>
      <w:r w:rsidRPr="00F1176C">
        <w:rPr>
          <w:rFonts w:asciiTheme="majorHAnsi" w:hAnsiTheme="majorHAnsi" w:cs="Times New Roman"/>
          <w:sz w:val="24"/>
          <w:szCs w:val="24"/>
        </w:rPr>
        <w:t>. M. Ridho, CV. Firdaus, Jakarta, 1994.</w:t>
      </w:r>
    </w:p>
    <w:p w14:paraId="1D382D76" w14:textId="77777777" w:rsidR="002A1238" w:rsidRPr="0094648D" w:rsidRDefault="002A1238" w:rsidP="002A1238">
      <w:pPr>
        <w:spacing w:line="360" w:lineRule="auto"/>
        <w:ind w:firstLine="720"/>
        <w:jc w:val="both"/>
        <w:rPr>
          <w:rFonts w:ascii="Times New Roman" w:hAnsi="Times New Roman" w:cs="Times New Roman"/>
          <w:sz w:val="24"/>
          <w:szCs w:val="24"/>
          <w:lang w:val="id-ID"/>
        </w:rPr>
      </w:pPr>
    </w:p>
    <w:p w14:paraId="0F34C037" w14:textId="77777777" w:rsidR="002A1238" w:rsidRPr="002517F5" w:rsidRDefault="002A1238" w:rsidP="002A1238">
      <w:pPr>
        <w:spacing w:line="360" w:lineRule="auto"/>
        <w:jc w:val="both"/>
        <w:rPr>
          <w:rFonts w:ascii="Times New Roman" w:hAnsi="Times New Roman" w:cs="Times New Roman"/>
          <w:sz w:val="24"/>
          <w:szCs w:val="24"/>
          <w:lang w:val="id-ID"/>
        </w:rPr>
      </w:pPr>
    </w:p>
    <w:p w14:paraId="75BEC83B" w14:textId="77777777" w:rsidR="002A1238" w:rsidRPr="002517F5" w:rsidRDefault="002A1238" w:rsidP="002A1238">
      <w:pPr>
        <w:spacing w:line="360" w:lineRule="auto"/>
        <w:ind w:firstLine="720"/>
        <w:jc w:val="both"/>
        <w:rPr>
          <w:rFonts w:ascii="Times New Roman" w:hAnsi="Times New Roman" w:cs="Times New Roman"/>
          <w:sz w:val="24"/>
          <w:szCs w:val="24"/>
          <w:lang w:val="id-ID"/>
        </w:rPr>
      </w:pPr>
    </w:p>
    <w:p w14:paraId="7C28F8C1" w14:textId="77777777" w:rsidR="002A1238" w:rsidRPr="001D54D3" w:rsidRDefault="002A1238" w:rsidP="002A1238">
      <w:pPr>
        <w:pStyle w:val="Heading1"/>
        <w:spacing w:line="360" w:lineRule="auto"/>
        <w:ind w:left="0" w:firstLine="180"/>
        <w:jc w:val="both"/>
      </w:pPr>
    </w:p>
    <w:sectPr w:rsidR="002A1238" w:rsidRPr="001D54D3" w:rsidSect="0071640E">
      <w:headerReference w:type="default" r:id="rId12"/>
      <w:footerReference w:type="default" r:id="rId13"/>
      <w:pgSz w:w="11910" w:h="16840"/>
      <w:pgMar w:top="1600" w:right="1580" w:bottom="1460" w:left="1600" w:header="0" w:footer="1266" w:gutter="0"/>
      <w:pgNumType w:start="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52B6B" w14:textId="77777777" w:rsidR="00EF72B9" w:rsidRDefault="00EF72B9">
      <w:r>
        <w:separator/>
      </w:r>
    </w:p>
  </w:endnote>
  <w:endnote w:type="continuationSeparator" w:id="0">
    <w:p w14:paraId="658AA2C5" w14:textId="77777777" w:rsidR="00EF72B9" w:rsidRDefault="00EF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287B4" w14:textId="77777777" w:rsidR="005A2D5A" w:rsidRDefault="00000000">
    <w:pPr>
      <w:pStyle w:val="BodyText"/>
      <w:spacing w:line="14" w:lineRule="auto"/>
      <w:rPr>
        <w:sz w:val="20"/>
      </w:rPr>
    </w:pPr>
    <w:r>
      <w:rPr>
        <w:noProof/>
      </w:rPr>
      <mc:AlternateContent>
        <mc:Choice Requires="wps">
          <w:drawing>
            <wp:anchor distT="0" distB="0" distL="0" distR="0" simplePos="0" relativeHeight="487525376" behindDoc="1" locked="0" layoutInCell="1" allowOverlap="1" wp14:anchorId="1CC6D25C" wp14:editId="1280DD01">
              <wp:simplePos x="0" y="0"/>
              <wp:positionH relativeFrom="page">
                <wp:posOffset>6376161</wp:posOffset>
              </wp:positionH>
              <wp:positionV relativeFrom="page">
                <wp:posOffset>9745471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4AB3113" w14:textId="77777777" w:rsidR="005A2D5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CC6D25C" id="_x0000_t202" coordsize="21600,21600" o:spt="202" path="m,l,21600r21600,l21600,xe">
              <v:stroke joinstyle="miter"/>
              <v:path gradientshapeok="t" o:connecttype="rect"/>
            </v:shapetype>
            <v:shape id="Textbox 1" o:spid="_x0000_s1026" type="#_x0000_t202" style="position:absolute;margin-left:502.05pt;margin-top:767.35pt;width:12.6pt;height:13.0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" filled="f" stroked="f">
              <v:textbox inset="0,0,0,0">
                <w:txbxContent>
                  <w:p w14:paraId="74AB3113" w14:textId="77777777" w:rsidR="005A2D5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AD0FF" w14:textId="77777777" w:rsidR="00EF72B9" w:rsidRDefault="00EF72B9">
      <w:r>
        <w:separator/>
      </w:r>
    </w:p>
  </w:footnote>
  <w:footnote w:type="continuationSeparator" w:id="0">
    <w:p w14:paraId="1F5984CA" w14:textId="77777777" w:rsidR="00EF72B9" w:rsidRDefault="00EF72B9">
      <w:r>
        <w:continuationSeparator/>
      </w:r>
    </w:p>
  </w:footnote>
  <w:footnote w:id="1">
    <w:p w14:paraId="10D5E99D" w14:textId="4064B986" w:rsidR="00D14F19" w:rsidRPr="00D14F19" w:rsidRDefault="00D14F19">
      <w:pPr>
        <w:pStyle w:val="FootnoteText"/>
        <w:rPr>
          <w:rFonts w:asciiTheme="majorHAnsi" w:hAnsiTheme="majorHAnsi"/>
          <w:lang w:val="en-US"/>
        </w:rPr>
      </w:pPr>
      <w:r>
        <w:rPr>
          <w:rStyle w:val="FootnoteReference"/>
        </w:rPr>
        <w:footnoteRef/>
      </w:r>
      <w:r>
        <w:t xml:space="preserve"> </w:t>
      </w:r>
      <w:r w:rsidRPr="00D14F19">
        <w:rPr>
          <w:rFonts w:asciiTheme="majorHAnsi" w:hAnsiTheme="majorHAnsi" w:cs="Times New Roman"/>
        </w:rPr>
        <w:t xml:space="preserve">Munzir Hitami, </w:t>
      </w:r>
      <w:r w:rsidRPr="00D14F19">
        <w:rPr>
          <w:rFonts w:asciiTheme="majorHAnsi" w:hAnsiTheme="majorHAnsi" w:cs="Times New Roman"/>
          <w:i/>
        </w:rPr>
        <w:t>“Pengantar Studi Al-Qur’an dan Pendekatan”</w:t>
      </w:r>
      <w:r w:rsidRPr="00D14F19">
        <w:rPr>
          <w:rFonts w:asciiTheme="majorHAnsi" w:hAnsiTheme="majorHAnsi" w:cs="Times New Roman"/>
        </w:rPr>
        <w:t>, (LKIS: Yogyakarta,2012), h. 1.</w:t>
      </w:r>
    </w:p>
  </w:footnote>
  <w:footnote w:id="2">
    <w:p w14:paraId="4A70E91A" w14:textId="77777777" w:rsidR="00D14F19" w:rsidRPr="00D14F19" w:rsidRDefault="00D14F19" w:rsidP="00D14F19">
      <w:pPr>
        <w:pStyle w:val="FootnoteText"/>
        <w:jc w:val="both"/>
        <w:rPr>
          <w:rFonts w:asciiTheme="majorHAnsi" w:hAnsiTheme="majorHAnsi" w:cs="Times New Roman"/>
        </w:rPr>
      </w:pPr>
      <w:r w:rsidRPr="00D14F19">
        <w:rPr>
          <w:rStyle w:val="FootnoteReference"/>
          <w:rFonts w:asciiTheme="majorHAnsi" w:hAnsiTheme="majorHAnsi"/>
        </w:rPr>
        <w:footnoteRef/>
      </w:r>
      <w:r w:rsidRPr="00D14F19">
        <w:rPr>
          <w:rFonts w:asciiTheme="majorHAnsi" w:hAnsiTheme="majorHAnsi"/>
        </w:rPr>
        <w:t xml:space="preserve"> </w:t>
      </w:r>
      <w:r w:rsidRPr="00D14F19">
        <w:rPr>
          <w:rFonts w:asciiTheme="majorHAnsi" w:hAnsiTheme="majorHAnsi" w:cs="Times New Roman"/>
        </w:rPr>
        <w:t xml:space="preserve">Hakim Muda Harapan, </w:t>
      </w:r>
      <w:r w:rsidRPr="00D14F19">
        <w:rPr>
          <w:rFonts w:asciiTheme="majorHAnsi" w:hAnsiTheme="majorHAnsi" w:cs="Times New Roman"/>
          <w:i/>
        </w:rPr>
        <w:t>“Rahasia Al-Qur’an”</w:t>
      </w:r>
      <w:r w:rsidRPr="00D14F19">
        <w:rPr>
          <w:rFonts w:asciiTheme="majorHAnsi" w:hAnsiTheme="majorHAnsi" w:cs="Times New Roman"/>
        </w:rPr>
        <w:t>, (Depok: Darul Hikmah, 2007), h. 27.</w:t>
      </w:r>
    </w:p>
    <w:p w14:paraId="74D7C292" w14:textId="68AB6C39" w:rsidR="00D14F19" w:rsidRPr="00D14F19" w:rsidRDefault="00D14F19">
      <w:pPr>
        <w:pStyle w:val="FootnoteText"/>
      </w:pPr>
    </w:p>
  </w:footnote>
  <w:footnote w:id="3">
    <w:p w14:paraId="09ED2F0C" w14:textId="77777777" w:rsidR="00D14F19" w:rsidRPr="00AA5D4F" w:rsidRDefault="00D14F19" w:rsidP="00D14F19">
      <w:pPr>
        <w:pStyle w:val="FootnoteText"/>
        <w:jc w:val="both"/>
        <w:rPr>
          <w:rFonts w:ascii="Times New Roman" w:hAnsi="Times New Roman" w:cs="Times New Roman"/>
        </w:rPr>
      </w:pPr>
      <w:r>
        <w:rPr>
          <w:rStyle w:val="FootnoteReference"/>
        </w:rPr>
        <w:footnoteRef/>
      </w:r>
      <w:r>
        <w:t xml:space="preserve"> </w:t>
      </w:r>
      <w:r w:rsidRPr="00AA5D4F">
        <w:rPr>
          <w:rFonts w:ascii="Times New Roman" w:hAnsi="Times New Roman" w:cs="Times New Roman"/>
        </w:rPr>
        <w:t xml:space="preserve">Anis Alfiatur Rohmah, dkk, </w:t>
      </w:r>
      <w:r w:rsidRPr="00AA5D4F">
        <w:rPr>
          <w:rFonts w:ascii="Times New Roman" w:hAnsi="Times New Roman" w:cs="Times New Roman"/>
          <w:i/>
        </w:rPr>
        <w:t>“Etika Berhias Mahasiswi Fuah Dalam Tinjauan Al-Qur’an”</w:t>
      </w:r>
      <w:r w:rsidRPr="00AA5D4F">
        <w:rPr>
          <w:rFonts w:ascii="Times New Roman" w:hAnsi="Times New Roman" w:cs="Times New Roman"/>
        </w:rPr>
        <w:t>, (dalam Jurnal Literasi Digital (JULITAL), Vol. 1, No. 1, Januari 2023), h. 38.</w:t>
      </w:r>
    </w:p>
    <w:p w14:paraId="1E6D8BF2" w14:textId="6B329827" w:rsidR="00D14F19" w:rsidRPr="00D14F19" w:rsidRDefault="00D14F19">
      <w:pPr>
        <w:pStyle w:val="FootnoteText"/>
      </w:pPr>
    </w:p>
  </w:footnote>
  <w:footnote w:id="4">
    <w:p w14:paraId="6B957251" w14:textId="77777777" w:rsidR="001D54D3" w:rsidRPr="00DD77B3" w:rsidRDefault="001D54D3" w:rsidP="001D54D3">
      <w:pPr>
        <w:pStyle w:val="FootnoteText"/>
        <w:jc w:val="both"/>
        <w:rPr>
          <w:rFonts w:ascii="Times New Roman" w:hAnsi="Times New Roman" w:cs="Times New Roman"/>
        </w:rPr>
      </w:pPr>
      <w:r>
        <w:rPr>
          <w:rStyle w:val="FootnoteReference"/>
        </w:rPr>
        <w:footnoteRef/>
      </w:r>
      <w:r>
        <w:t xml:space="preserve"> </w:t>
      </w:r>
      <w:r w:rsidRPr="00DD77B3">
        <w:rPr>
          <w:rFonts w:ascii="Times New Roman" w:hAnsi="Times New Roman" w:cs="Times New Roman"/>
        </w:rPr>
        <w:t xml:space="preserve">Ni’mah Rasyid Ridha, </w:t>
      </w:r>
      <w:r w:rsidRPr="00512676">
        <w:rPr>
          <w:rFonts w:ascii="Times New Roman" w:hAnsi="Times New Roman" w:cs="Times New Roman"/>
          <w:i/>
        </w:rPr>
        <w:t>“Tabarruj”</w:t>
      </w:r>
      <w:r w:rsidRPr="00DD77B3">
        <w:rPr>
          <w:rFonts w:ascii="Times New Roman" w:hAnsi="Times New Roman" w:cs="Times New Roman"/>
        </w:rPr>
        <w:t>, (Jakarta: Pustaka Al-Kautsar, 1991), h. 11.</w:t>
      </w:r>
    </w:p>
    <w:p w14:paraId="2F0BADB0" w14:textId="5F4F71FA" w:rsidR="001D54D3" w:rsidRPr="001D54D3" w:rsidRDefault="001D54D3">
      <w:pPr>
        <w:pStyle w:val="FootnoteText"/>
      </w:pPr>
    </w:p>
  </w:footnote>
  <w:footnote w:id="5">
    <w:p w14:paraId="7F2A7BE2" w14:textId="65ABE007" w:rsidR="001D54D3" w:rsidRPr="001D54D3" w:rsidRDefault="001D54D3" w:rsidP="001D54D3">
      <w:pPr>
        <w:pStyle w:val="FootnoteText"/>
        <w:jc w:val="both"/>
      </w:pPr>
      <w:r>
        <w:rPr>
          <w:rStyle w:val="FootnoteReference"/>
        </w:rPr>
        <w:footnoteRef/>
      </w:r>
      <w:r>
        <w:t xml:space="preserve"> </w:t>
      </w:r>
      <w:r w:rsidRPr="00DD77B3">
        <w:rPr>
          <w:rFonts w:ascii="Times New Roman" w:hAnsi="Times New Roman" w:cs="Times New Roman"/>
        </w:rPr>
        <w:t xml:space="preserve">Abdul Syukur Al-Azizi, </w:t>
      </w:r>
      <w:r w:rsidRPr="00512676">
        <w:rPr>
          <w:rFonts w:ascii="Times New Roman" w:hAnsi="Times New Roman" w:cs="Times New Roman"/>
          <w:i/>
        </w:rPr>
        <w:t>“Fiqh Wanita”</w:t>
      </w:r>
      <w:r w:rsidRPr="00DD77B3">
        <w:rPr>
          <w:rFonts w:ascii="Times New Roman" w:hAnsi="Times New Roman" w:cs="Times New Roman"/>
        </w:rPr>
        <w:t>, (Yogyakarta: Diva Press, 2015), h. 361.</w:t>
      </w:r>
    </w:p>
  </w:footnote>
  <w:footnote w:id="6">
    <w:p w14:paraId="6F853022" w14:textId="53D7AE6B" w:rsidR="001D54D3" w:rsidRPr="001D54D3" w:rsidRDefault="001D54D3">
      <w:pPr>
        <w:pStyle w:val="FootnoteText"/>
        <w:rPr>
          <w:lang w:val="en-US"/>
        </w:rPr>
      </w:pPr>
      <w:r>
        <w:rPr>
          <w:rStyle w:val="FootnoteReference"/>
        </w:rPr>
        <w:footnoteRef/>
      </w:r>
      <w:r>
        <w:t xml:space="preserve"> </w:t>
      </w:r>
      <w:r w:rsidRPr="00DD77B3">
        <w:rPr>
          <w:rFonts w:ascii="Times New Roman" w:hAnsi="Times New Roman" w:cs="Times New Roman"/>
        </w:rPr>
        <w:t xml:space="preserve">Abu Mujadidul Islam dan Lailatus Sa’adah, </w:t>
      </w:r>
      <w:r>
        <w:rPr>
          <w:rFonts w:ascii="Times New Roman" w:hAnsi="Times New Roman" w:cs="Times New Roman"/>
        </w:rPr>
        <w:t>“</w:t>
      </w:r>
      <w:r w:rsidRPr="00DD77B3">
        <w:rPr>
          <w:rFonts w:ascii="Times New Roman" w:hAnsi="Times New Roman" w:cs="Times New Roman"/>
          <w:i/>
        </w:rPr>
        <w:t>Memahami Aurat dan Wanita</w:t>
      </w:r>
      <w:r>
        <w:rPr>
          <w:rFonts w:ascii="Times New Roman" w:hAnsi="Times New Roman" w:cs="Times New Roman"/>
          <w:i/>
        </w:rPr>
        <w:t>”</w:t>
      </w:r>
      <w:r w:rsidRPr="00DD77B3">
        <w:rPr>
          <w:rFonts w:ascii="Times New Roman" w:hAnsi="Times New Roman" w:cs="Times New Roman"/>
          <w:i/>
        </w:rPr>
        <w:t xml:space="preserve">, </w:t>
      </w:r>
      <w:r w:rsidRPr="00DD77B3">
        <w:rPr>
          <w:rFonts w:ascii="Times New Roman" w:hAnsi="Times New Roman" w:cs="Times New Roman"/>
        </w:rPr>
        <w:t>cetakan ke-1 (T.tp.: Lumbung Insani, 2011), h. 67.</w:t>
      </w:r>
    </w:p>
  </w:footnote>
  <w:footnote w:id="7">
    <w:p w14:paraId="7E143A66" w14:textId="4ADA14AE" w:rsidR="001D54D3" w:rsidRPr="001D54D3" w:rsidRDefault="001D54D3">
      <w:pPr>
        <w:pStyle w:val="FootnoteText"/>
        <w:rPr>
          <w:lang w:val="en-US"/>
        </w:rPr>
      </w:pPr>
      <w:r>
        <w:rPr>
          <w:rStyle w:val="FootnoteReference"/>
        </w:rPr>
        <w:footnoteRef/>
      </w:r>
      <w:r>
        <w:t xml:space="preserve"> </w:t>
      </w:r>
      <w:r w:rsidRPr="00DD77B3">
        <w:rPr>
          <w:rFonts w:ascii="Times New Roman" w:hAnsi="Times New Roman" w:cs="Times New Roman"/>
        </w:rPr>
        <w:t xml:space="preserve">Vera Nur Azmi, </w:t>
      </w:r>
      <w:r>
        <w:rPr>
          <w:rFonts w:ascii="Times New Roman" w:hAnsi="Times New Roman" w:cs="Times New Roman"/>
        </w:rPr>
        <w:t>“</w:t>
      </w:r>
      <w:r w:rsidRPr="00DD77B3">
        <w:rPr>
          <w:rFonts w:ascii="Times New Roman" w:hAnsi="Times New Roman" w:cs="Times New Roman"/>
          <w:i/>
        </w:rPr>
        <w:t>Makna Tabarruj Perspektif Hadits dalam Kitab Syarah Shahih Muslim karya Imam An-Nawawi</w:t>
      </w:r>
      <w:r>
        <w:rPr>
          <w:rFonts w:ascii="Times New Roman" w:hAnsi="Times New Roman" w:cs="Times New Roman"/>
          <w:i/>
        </w:rPr>
        <w:t>”</w:t>
      </w:r>
      <w:r w:rsidRPr="00DD77B3">
        <w:rPr>
          <w:rFonts w:ascii="Times New Roman" w:hAnsi="Times New Roman" w:cs="Times New Roman"/>
        </w:rPr>
        <w:t>, (Bandung, Jurnal Ilmu Ushuluddin, 2022), h. 17.</w:t>
      </w:r>
    </w:p>
  </w:footnote>
  <w:footnote w:id="8">
    <w:p w14:paraId="6B4C982D" w14:textId="53D22B83" w:rsidR="00903CCB" w:rsidRPr="00903CCB" w:rsidRDefault="00903CCB">
      <w:pPr>
        <w:pStyle w:val="FootnoteText"/>
        <w:rPr>
          <w:lang w:val="en-US"/>
        </w:rPr>
      </w:pPr>
      <w:r>
        <w:rPr>
          <w:rStyle w:val="FootnoteReference"/>
        </w:rPr>
        <w:footnoteRef/>
      </w:r>
      <w:r>
        <w:t xml:space="preserve"> </w:t>
      </w:r>
      <w:r w:rsidRPr="00022D2F">
        <w:rPr>
          <w:rFonts w:ascii="Times New Roman" w:hAnsi="Times New Roman" w:cs="Times New Roman"/>
        </w:rPr>
        <w:t xml:space="preserve">Kementerian Agama RI, </w:t>
      </w:r>
      <w:r w:rsidRPr="00D15632">
        <w:rPr>
          <w:rFonts w:ascii="Times New Roman" w:hAnsi="Times New Roman" w:cs="Times New Roman"/>
          <w:i/>
        </w:rPr>
        <w:t>Al-Qur’an &amp; Tafsirnya</w:t>
      </w:r>
      <w:r w:rsidRPr="00022D2F">
        <w:rPr>
          <w:rFonts w:ascii="Times New Roman" w:hAnsi="Times New Roman" w:cs="Times New Roman"/>
        </w:rPr>
        <w:t xml:space="preserve"> (jil 8), Ibid., h. 3.</w:t>
      </w:r>
    </w:p>
  </w:footnote>
  <w:footnote w:id="9">
    <w:p w14:paraId="114FC7C9" w14:textId="02FF809F" w:rsidR="00903CCB" w:rsidRPr="00903CCB" w:rsidRDefault="00903CCB">
      <w:pPr>
        <w:pStyle w:val="FootnoteText"/>
        <w:rPr>
          <w:lang w:val="en-US"/>
        </w:rPr>
      </w:pPr>
      <w:r>
        <w:rPr>
          <w:rStyle w:val="FootnoteReference"/>
        </w:rPr>
        <w:footnoteRef/>
      </w:r>
      <w:r>
        <w:t xml:space="preserve"> </w:t>
      </w:r>
      <w:r w:rsidRPr="00DD77B3">
        <w:rPr>
          <w:rFonts w:ascii="Times New Roman" w:hAnsi="Times New Roman" w:cs="Times New Roman"/>
        </w:rPr>
        <w:t xml:space="preserve">M. Quraish Shihab, </w:t>
      </w:r>
      <w:r w:rsidRPr="00D15632">
        <w:rPr>
          <w:rFonts w:ascii="Times New Roman" w:hAnsi="Times New Roman" w:cs="Times New Roman"/>
          <w:i/>
        </w:rPr>
        <w:t>“Tafsir Al-Mishbah Pesan, Kesan dan Keserasian Al-Qur’an”</w:t>
      </w:r>
      <w:r w:rsidRPr="00DD77B3">
        <w:rPr>
          <w:rFonts w:ascii="Times New Roman" w:hAnsi="Times New Roman" w:cs="Times New Roman"/>
        </w:rPr>
        <w:t>, volume 11, Jakarta: Lentera Hati, (2002), hal. 264.</w:t>
      </w:r>
    </w:p>
  </w:footnote>
  <w:footnote w:id="10">
    <w:p w14:paraId="0E7FED46" w14:textId="5720E80C" w:rsidR="00903CCB" w:rsidRPr="00903CCB" w:rsidRDefault="00903CCB" w:rsidP="00795D10">
      <w:pPr>
        <w:pStyle w:val="FootnoteText"/>
        <w:jc w:val="both"/>
      </w:pPr>
      <w:r>
        <w:rPr>
          <w:rStyle w:val="FootnoteReference"/>
        </w:rPr>
        <w:footnoteRef/>
      </w:r>
      <w:r>
        <w:t xml:space="preserve"> </w:t>
      </w:r>
      <w:r w:rsidRPr="00DD77B3">
        <w:rPr>
          <w:rFonts w:ascii="Times New Roman" w:hAnsi="Times New Roman" w:cs="Times New Roman"/>
        </w:rPr>
        <w:t xml:space="preserve">M. Quraish Shihab, </w:t>
      </w:r>
      <w:r w:rsidRPr="00D15632">
        <w:rPr>
          <w:rFonts w:ascii="Times New Roman" w:hAnsi="Times New Roman" w:cs="Times New Roman"/>
          <w:i/>
        </w:rPr>
        <w:t>“Tafsir Al-Misbah Pesan, Kesan dan Keserasihan Al-Qur’an”</w:t>
      </w:r>
      <w:r w:rsidRPr="00DD77B3">
        <w:rPr>
          <w:rFonts w:ascii="Times New Roman" w:hAnsi="Times New Roman" w:cs="Times New Roman"/>
        </w:rPr>
        <w:t>, volume 9, Jakarta: Lentera Hati, (2002), h. 398-399.</w:t>
      </w:r>
    </w:p>
  </w:footnote>
  <w:footnote w:id="11">
    <w:p w14:paraId="4CF10D6D" w14:textId="77F6EE4D" w:rsidR="00795D10" w:rsidRPr="00795D10" w:rsidRDefault="00795D10">
      <w:pPr>
        <w:pStyle w:val="FootnoteText"/>
      </w:pPr>
      <w:r>
        <w:rPr>
          <w:rStyle w:val="FootnoteReference"/>
        </w:rPr>
        <w:footnoteRef/>
      </w:r>
      <w:r>
        <w:t xml:space="preserve"> </w:t>
      </w:r>
      <w:r w:rsidRPr="00795D10">
        <w:t xml:space="preserve">  Aisyah Shabrina, “Penafsiran Tabarruj Al-Jahiliyyah Dalam Al-Qur’an (Studi Komparatif Kitab Jami’ Al-Bayan ‘An Ta’wil Ay Al-Qur’an dan Tafsir Fi Zhilal Al-Qur’an)”, (Skripsi S1 Fakultas Ushuluddin Adab dan Humaniora IAIN Jember,  2021), h. 23.</w:t>
      </w:r>
    </w:p>
  </w:footnote>
  <w:footnote w:id="12">
    <w:p w14:paraId="5BECF510" w14:textId="4F61DA0C" w:rsidR="00795D10" w:rsidRPr="00795D10" w:rsidRDefault="00795D10">
      <w:pPr>
        <w:pStyle w:val="FootnoteText"/>
        <w:rPr>
          <w:lang w:val="en-US"/>
        </w:rPr>
      </w:pPr>
      <w:r>
        <w:rPr>
          <w:rStyle w:val="FootnoteReference"/>
        </w:rPr>
        <w:footnoteRef/>
      </w:r>
      <w:r>
        <w:t xml:space="preserve"> </w:t>
      </w:r>
      <w:r w:rsidRPr="00795D10">
        <w:t>Dian Arnita, “Etika Berpakaian Bagi Wanita Yang Sudah Lanjut Usia (Suatu Kajian Tafsir Tahlili Terhadap QS. Al-Nur/24: 60)”, (Skripsi S1 Fakultas Ushuluddin Filsafat dan Politik UIN Alaudin Makassar, 2019), h. 61.</w:t>
      </w:r>
    </w:p>
  </w:footnote>
  <w:footnote w:id="13">
    <w:p w14:paraId="6D2C9BD4" w14:textId="467311F3" w:rsidR="00795D10" w:rsidRPr="00795D10" w:rsidRDefault="00795D10" w:rsidP="00795D10">
      <w:pPr>
        <w:pStyle w:val="FootnoteText"/>
        <w:jc w:val="both"/>
      </w:pPr>
      <w:r>
        <w:rPr>
          <w:rStyle w:val="FootnoteReference"/>
        </w:rPr>
        <w:footnoteRef/>
      </w:r>
      <w:r>
        <w:t xml:space="preserve"> </w:t>
      </w:r>
      <w:r w:rsidRPr="00DD77B3">
        <w:rPr>
          <w:rFonts w:ascii="Times New Roman" w:hAnsi="Times New Roman" w:cs="Times New Roman"/>
        </w:rPr>
        <w:t xml:space="preserve">Mirna Wati, </w:t>
      </w:r>
      <w:r w:rsidRPr="00DD77B3">
        <w:rPr>
          <w:rFonts w:ascii="Times New Roman" w:hAnsi="Times New Roman" w:cs="Times New Roman"/>
          <w:i/>
        </w:rPr>
        <w:t>“Pemahaman Ayat-Ayat Tentang Tabarruj (Studi Pendekatan Tematik), (Skripsi S1 Jurusan Dakwah Komunikasi dan Ushuluddin IAIN Curup, 2018)”,</w:t>
      </w:r>
      <w:r w:rsidRPr="00DD77B3">
        <w:rPr>
          <w:rFonts w:ascii="Times New Roman" w:hAnsi="Times New Roman" w:cs="Times New Roman"/>
        </w:rPr>
        <w:t xml:space="preserve"> h. 69.</w:t>
      </w:r>
    </w:p>
  </w:footnote>
  <w:footnote w:id="14">
    <w:p w14:paraId="53D67835" w14:textId="36CF36B8" w:rsidR="00795D10" w:rsidRPr="00795D10" w:rsidRDefault="00795D10" w:rsidP="00795D10">
      <w:pPr>
        <w:pStyle w:val="FootnoteText"/>
        <w:jc w:val="both"/>
      </w:pPr>
      <w:r>
        <w:rPr>
          <w:rStyle w:val="FootnoteReference"/>
        </w:rPr>
        <w:footnoteRef/>
      </w:r>
      <w:r>
        <w:t xml:space="preserve"> </w:t>
      </w:r>
      <w:r w:rsidRPr="00DD77B3">
        <w:rPr>
          <w:rFonts w:ascii="Times New Roman" w:hAnsi="Times New Roman" w:cs="Times New Roman"/>
        </w:rPr>
        <w:t xml:space="preserve">Muslih Muhaimin Seknun, </w:t>
      </w:r>
      <w:r w:rsidRPr="00DD77B3">
        <w:rPr>
          <w:rFonts w:ascii="Times New Roman" w:hAnsi="Times New Roman" w:cs="Times New Roman"/>
          <w:i/>
        </w:rPr>
        <w:t>“Eksploitasi Wanita Di Era Kontemporer: (Studi Analisa Tafsir Tabarruj Dalam Al-Quran)”</w:t>
      </w:r>
      <w:r w:rsidRPr="00DD77B3">
        <w:rPr>
          <w:rFonts w:ascii="Times New Roman" w:hAnsi="Times New Roman" w:cs="Times New Roman"/>
        </w:rPr>
        <w:t>, (Skripsi S1 Fakultas Ushuluddin UIN Syarif Hidayatullah Jakarta, 2018), h. 58-59.</w:t>
      </w:r>
    </w:p>
  </w:footnote>
  <w:footnote w:id="15">
    <w:p w14:paraId="07911005" w14:textId="067B25A7" w:rsidR="00795D10" w:rsidRPr="00795D10" w:rsidRDefault="00795D10">
      <w:pPr>
        <w:pStyle w:val="FootnoteText"/>
        <w:rPr>
          <w:lang w:val="en-US"/>
        </w:rPr>
      </w:pPr>
      <w:r>
        <w:rPr>
          <w:rStyle w:val="FootnoteReference"/>
        </w:rPr>
        <w:footnoteRef/>
      </w:r>
      <w:r>
        <w:t xml:space="preserve"> </w:t>
      </w:r>
      <w:r w:rsidRPr="00022D2F">
        <w:rPr>
          <w:rFonts w:ascii="Times New Roman" w:hAnsi="Times New Roman" w:cs="Times New Roman"/>
        </w:rPr>
        <w:t>Kementerian Agama RI, Al-Qur’an &amp; Tafsirnya (jil 8), Ibid., h. 635.</w:t>
      </w:r>
    </w:p>
  </w:footnote>
  <w:footnote w:id="16">
    <w:p w14:paraId="3344934A" w14:textId="4F2F7C4D" w:rsidR="00795D10" w:rsidRPr="00795D10" w:rsidRDefault="00795D10">
      <w:pPr>
        <w:pStyle w:val="FootnoteText"/>
        <w:rPr>
          <w:lang w:val="en-US"/>
        </w:rPr>
      </w:pPr>
      <w:r>
        <w:rPr>
          <w:rStyle w:val="FootnoteReference"/>
        </w:rPr>
        <w:footnoteRef/>
      </w:r>
      <w:r>
        <w:t xml:space="preserve"> </w:t>
      </w:r>
      <w:r w:rsidRPr="00DD77B3">
        <w:rPr>
          <w:rStyle w:val="FootnoteReference"/>
          <w:rFonts w:ascii="Times New Roman" w:hAnsi="Times New Roman" w:cs="Times New Roman"/>
        </w:rPr>
        <w:footnoteRef/>
      </w:r>
      <w:r>
        <w:rPr>
          <w:rFonts w:ascii="Times New Roman" w:hAnsi="Times New Roman" w:cs="Times New Roman"/>
        </w:rPr>
        <w:t xml:space="preserve"> </w:t>
      </w:r>
      <w:r w:rsidRPr="00DD77B3">
        <w:rPr>
          <w:rFonts w:ascii="Times New Roman" w:hAnsi="Times New Roman" w:cs="Times New Roman"/>
        </w:rPr>
        <w:t>Ibid., h. 264.</w:t>
      </w:r>
    </w:p>
  </w:footnote>
  <w:footnote w:id="17">
    <w:p w14:paraId="149CFDCE" w14:textId="34C289FF" w:rsidR="00795D10" w:rsidRPr="00795D10" w:rsidRDefault="00795D10">
      <w:pPr>
        <w:pStyle w:val="FootnoteText"/>
        <w:rPr>
          <w:lang w:val="en-US"/>
        </w:rPr>
      </w:pPr>
      <w:r>
        <w:rPr>
          <w:rStyle w:val="FootnoteReference"/>
        </w:rPr>
        <w:footnoteRef/>
      </w:r>
      <w:r>
        <w:t xml:space="preserve"> </w:t>
      </w:r>
      <w:r w:rsidR="00FE0A58">
        <w:t>Ibid</w:t>
      </w:r>
    </w:p>
  </w:footnote>
  <w:footnote w:id="18">
    <w:p w14:paraId="7E1232AA" w14:textId="40CE7F87" w:rsidR="00FE0A58" w:rsidRPr="00FE0A58" w:rsidRDefault="00FE0A58">
      <w:pPr>
        <w:pStyle w:val="FootnoteText"/>
        <w:rPr>
          <w:lang w:val="en-US"/>
        </w:rPr>
      </w:pPr>
      <w:r>
        <w:rPr>
          <w:rStyle w:val="FootnoteReference"/>
        </w:rPr>
        <w:footnoteRef/>
      </w:r>
      <w:r>
        <w:t xml:space="preserve"> </w:t>
      </w:r>
      <w:r w:rsidRPr="00DD77B3">
        <w:rPr>
          <w:rFonts w:ascii="Times New Roman" w:hAnsi="Times New Roman" w:cs="Times New Roman"/>
        </w:rPr>
        <w:t xml:space="preserve">Abdul Syukur al-Azizi, </w:t>
      </w:r>
      <w:r w:rsidRPr="00D15632">
        <w:rPr>
          <w:rFonts w:ascii="Times New Roman" w:hAnsi="Times New Roman" w:cs="Times New Roman"/>
          <w:i/>
        </w:rPr>
        <w:t>“Fiqih Wanita”</w:t>
      </w:r>
      <w:r w:rsidRPr="00DD77B3">
        <w:rPr>
          <w:rFonts w:ascii="Times New Roman" w:hAnsi="Times New Roman" w:cs="Times New Roman"/>
        </w:rPr>
        <w:t>, 2015, ( Yogyakarta: Diva Press ) hal. 361-362</w:t>
      </w:r>
    </w:p>
  </w:footnote>
  <w:footnote w:id="19">
    <w:p w14:paraId="6C67E2E9" w14:textId="05488F32" w:rsidR="00FE0A58" w:rsidRPr="00FE0A58" w:rsidRDefault="00FE0A58">
      <w:pPr>
        <w:pStyle w:val="FootnoteText"/>
        <w:rPr>
          <w:lang w:val="en-US"/>
        </w:rPr>
      </w:pPr>
      <w:r>
        <w:rPr>
          <w:rStyle w:val="FootnoteReference"/>
        </w:rPr>
        <w:footnoteRef/>
      </w:r>
      <w:r>
        <w:t xml:space="preserve"> </w:t>
      </w:r>
      <w:r w:rsidRPr="00DD77B3">
        <w:rPr>
          <w:rFonts w:ascii="Times New Roman" w:hAnsi="Times New Roman" w:cs="Times New Roman"/>
        </w:rPr>
        <w:t xml:space="preserve">ahfidhatul Khasanah, </w:t>
      </w:r>
      <w:r w:rsidRPr="00DD77B3">
        <w:rPr>
          <w:rFonts w:ascii="Times New Roman" w:hAnsi="Times New Roman" w:cs="Times New Roman"/>
          <w:i/>
        </w:rPr>
        <w:t>“Adab Berhias Muslimah Perspektif Ma’na-Cum-Maghza tentang Tabarruj dalam QS. Al-Ahzab Ayat 33”</w:t>
      </w:r>
      <w:r w:rsidRPr="00DD77B3">
        <w:rPr>
          <w:rFonts w:ascii="Times New Roman" w:hAnsi="Times New Roman" w:cs="Times New Roman"/>
        </w:rPr>
        <w:t>, Dalam Al-Adabiya: Jurnal Kebudayaan dan Keagamaan, Vol. 16, No. 2, Desember 2021, h. 174.</w:t>
      </w:r>
    </w:p>
  </w:footnote>
  <w:footnote w:id="20">
    <w:p w14:paraId="66590C6A" w14:textId="2B9CD9D2" w:rsidR="00FE0A58" w:rsidRPr="00FE0A58" w:rsidRDefault="00FE0A58">
      <w:pPr>
        <w:pStyle w:val="FootnoteText"/>
        <w:rPr>
          <w:lang w:val="en-US"/>
        </w:rPr>
      </w:pPr>
      <w:r>
        <w:rPr>
          <w:rStyle w:val="FootnoteReference"/>
        </w:rPr>
        <w:footnoteRef/>
      </w:r>
      <w:r>
        <w:t xml:space="preserve"> </w:t>
      </w:r>
      <w:r w:rsidRPr="00DD77B3">
        <w:rPr>
          <w:rFonts w:ascii="Times New Roman" w:hAnsi="Times New Roman" w:cs="Times New Roman"/>
        </w:rPr>
        <w:t>Ahmad Faruqi, dkk</w:t>
      </w:r>
      <w:r w:rsidRPr="00DD77B3">
        <w:rPr>
          <w:rFonts w:ascii="Times New Roman" w:hAnsi="Times New Roman" w:cs="Times New Roman"/>
          <w:i/>
        </w:rPr>
        <w:t>, “Etika Berhias Bagi Wanita Menurut Al-Qur’an Surat Al-Ahzab Ayat: 33”</w:t>
      </w:r>
      <w:r w:rsidRPr="00DD77B3">
        <w:rPr>
          <w:rFonts w:ascii="Times New Roman" w:hAnsi="Times New Roman" w:cs="Times New Roman"/>
        </w:rPr>
        <w:t>, Laporan Hasil Penelitian, STIQNIS 2020, h. 36.</w:t>
      </w:r>
    </w:p>
  </w:footnote>
  <w:footnote w:id="21">
    <w:p w14:paraId="0326ECE8" w14:textId="105BC045" w:rsidR="00FE0A58" w:rsidRPr="00FE0A58" w:rsidRDefault="00FE0A58" w:rsidP="00FE0A58">
      <w:pPr>
        <w:pStyle w:val="FootnoteText"/>
        <w:jc w:val="both"/>
      </w:pPr>
      <w:r>
        <w:rPr>
          <w:rStyle w:val="FootnoteReference"/>
        </w:rPr>
        <w:footnoteRef/>
      </w:r>
      <w:r>
        <w:t xml:space="preserve"> </w:t>
      </w:r>
      <w:r w:rsidRPr="00DD77B3">
        <w:rPr>
          <w:rFonts w:ascii="Times New Roman" w:hAnsi="Times New Roman" w:cs="Times New Roman"/>
        </w:rPr>
        <w:t>Widiani Hidayati dan Faisal Saleh</w:t>
      </w:r>
      <w:r w:rsidRPr="00DD77B3">
        <w:rPr>
          <w:rFonts w:ascii="Times New Roman" w:hAnsi="Times New Roman" w:cs="Times New Roman"/>
          <w:i/>
        </w:rPr>
        <w:t>, “Nilai-Nilai Pendidikan Akhlak Wanita Dari Para Istri Nabi (Analisis Surat Al-Ahzab Ayat 28-35 Dalam Kitab Tafsir Al-Ahzar Karya Buya Hamka”</w:t>
      </w:r>
      <w:r w:rsidRPr="00DD77B3">
        <w:rPr>
          <w:rFonts w:ascii="Times New Roman" w:hAnsi="Times New Roman" w:cs="Times New Roman"/>
        </w:rPr>
        <w:t>, Dalam El-Tarbawi, Vol. 12, h. 194.</w:t>
      </w:r>
    </w:p>
  </w:footnote>
  <w:footnote w:id="22">
    <w:p w14:paraId="0095301F" w14:textId="3CDBA9E4" w:rsidR="00FE0A58" w:rsidRPr="00FE0A58" w:rsidRDefault="00FE0A58" w:rsidP="00FE0A58">
      <w:pPr>
        <w:pStyle w:val="FootnoteText"/>
        <w:jc w:val="both"/>
      </w:pPr>
      <w:r>
        <w:rPr>
          <w:rStyle w:val="FootnoteReference"/>
        </w:rPr>
        <w:footnoteRef/>
      </w:r>
      <w:r>
        <w:t xml:space="preserve"> </w:t>
      </w:r>
      <w:r w:rsidRPr="00DD77B3">
        <w:rPr>
          <w:rFonts w:ascii="Times New Roman" w:hAnsi="Times New Roman" w:cs="Times New Roman"/>
        </w:rPr>
        <w:t xml:space="preserve">Salsabila Husna Dimyati, </w:t>
      </w:r>
      <w:r w:rsidRPr="00DD77B3">
        <w:rPr>
          <w:rFonts w:ascii="Times New Roman" w:hAnsi="Times New Roman" w:cs="Times New Roman"/>
          <w:i/>
        </w:rPr>
        <w:t>“Konsep Wanita Karier Dalam QS. Al-Ahzab Ayat 33 Perspektif  Tafsir Al-Misbah”</w:t>
      </w:r>
      <w:r w:rsidRPr="00DD77B3">
        <w:rPr>
          <w:rFonts w:ascii="Times New Roman" w:hAnsi="Times New Roman" w:cs="Times New Roman"/>
        </w:rPr>
        <w:t>, (Skripsi S1 Fakultas Ushuluddin Adab dan Dakwah IAIN Ponorogo 2022), h. 68.</w:t>
      </w:r>
    </w:p>
  </w:footnote>
  <w:footnote w:id="23">
    <w:p w14:paraId="3319646B" w14:textId="6B76FFD8" w:rsidR="00FE0A58" w:rsidRPr="001D28F7" w:rsidRDefault="00FE0A58">
      <w:pPr>
        <w:pStyle w:val="FootnoteText"/>
      </w:pPr>
      <w:r>
        <w:rPr>
          <w:rStyle w:val="FootnoteReference"/>
        </w:rPr>
        <w:footnoteRef/>
      </w:r>
      <w:r>
        <w:t xml:space="preserve"> </w:t>
      </w:r>
      <w:r w:rsidRPr="00DD77B3">
        <w:rPr>
          <w:rFonts w:ascii="Times New Roman" w:hAnsi="Times New Roman" w:cs="Times New Roman"/>
        </w:rPr>
        <w:t>Ibid., h. 68.</w:t>
      </w:r>
    </w:p>
  </w:footnote>
  <w:footnote w:id="24">
    <w:p w14:paraId="5A247255" w14:textId="77777777" w:rsidR="00FE0A58" w:rsidRPr="00DD77B3" w:rsidRDefault="00FE0A58" w:rsidP="00FE0A58">
      <w:pPr>
        <w:pStyle w:val="FootnoteText"/>
        <w:jc w:val="both"/>
        <w:rPr>
          <w:rFonts w:ascii="Times New Roman" w:hAnsi="Times New Roman" w:cs="Times New Roman"/>
        </w:rPr>
      </w:pPr>
      <w:r>
        <w:rPr>
          <w:rStyle w:val="FootnoteReference"/>
        </w:rPr>
        <w:footnoteRef/>
      </w:r>
      <w:r>
        <w:t xml:space="preserve"> </w:t>
      </w:r>
      <w:r w:rsidRPr="00DD77B3">
        <w:rPr>
          <w:rFonts w:ascii="Times New Roman" w:hAnsi="Times New Roman" w:cs="Times New Roman"/>
        </w:rPr>
        <w:t>Ibid., h.69</w:t>
      </w:r>
    </w:p>
    <w:p w14:paraId="4DB2700B" w14:textId="434319F8" w:rsidR="00FE0A58" w:rsidRPr="001D28F7" w:rsidRDefault="00FE0A58">
      <w:pPr>
        <w:pStyle w:val="FootnoteText"/>
      </w:pPr>
    </w:p>
  </w:footnote>
  <w:footnote w:id="25">
    <w:p w14:paraId="715A3B2D" w14:textId="77777777" w:rsidR="00FE0A58" w:rsidRPr="00DD77B3" w:rsidRDefault="00FE0A58" w:rsidP="00FE0A58">
      <w:pPr>
        <w:pStyle w:val="FootnoteText"/>
        <w:jc w:val="both"/>
        <w:rPr>
          <w:rFonts w:ascii="Times New Roman" w:hAnsi="Times New Roman" w:cs="Times New Roman"/>
        </w:rPr>
      </w:pPr>
      <w:r>
        <w:rPr>
          <w:rStyle w:val="FootnoteReference"/>
        </w:rPr>
        <w:footnoteRef/>
      </w:r>
      <w:r>
        <w:t xml:space="preserve"> </w:t>
      </w:r>
      <w:r w:rsidRPr="00DD77B3">
        <w:rPr>
          <w:rFonts w:ascii="Times New Roman" w:hAnsi="Times New Roman" w:cs="Times New Roman"/>
        </w:rPr>
        <w:t>Para perempuan muslimah diperintahkan agar tetap tinggal didalam rumahnya dalam ayat tersebut dijelaskan, bukan berarti seorang perempuan tidak boleh keluar meninggalkan rumah akan tetapi, ketika ada keperluan yang mendesak mereka (perempuan) boleh keluar dari rumahnya, jika tidak ada keperluan maka sebaiknya di dalam rumah, kana itu lebih dapat menjaga dirinya dan selamat. Imam Qurthubi menjelaskan: bahwa ayat ini menjelaskan ada perintah dalam ayat ini yaitu perintah agar perempuan tetap tinggal di rumahnya, dan pada dasarnya dikhususkan untuk istri nabi akan tetapi hukum ini juga berlaku bagi perempuan muslim lainnya agar menjadi keselamatan bagi perempuan muslimin. Lihat Imad Zaki Al Marudi, Tafsir Wanita, (Jakarta Timur: Pustaka Al-Kautsar, 2004) cet. ke-1 h. 259.</w:t>
      </w:r>
    </w:p>
    <w:p w14:paraId="588CAC98" w14:textId="2D9D2562" w:rsidR="00FE0A58" w:rsidRPr="00FE0A58" w:rsidRDefault="00FE0A58">
      <w:pPr>
        <w:pStyle w:val="FootnoteText"/>
      </w:pPr>
    </w:p>
  </w:footnote>
  <w:footnote w:id="26">
    <w:p w14:paraId="02ECA7AF" w14:textId="44E73C69" w:rsidR="00FE0A58" w:rsidRPr="00FE0A58" w:rsidRDefault="00FE0A58">
      <w:pPr>
        <w:pStyle w:val="FootnoteText"/>
      </w:pPr>
      <w:r>
        <w:rPr>
          <w:rStyle w:val="FootnoteReference"/>
        </w:rPr>
        <w:footnoteRef/>
      </w:r>
      <w:r>
        <w:t xml:space="preserve"> </w:t>
      </w:r>
      <w:r w:rsidR="00BA114C" w:rsidRPr="00DD77B3">
        <w:rPr>
          <w:rFonts w:ascii="Times New Roman" w:hAnsi="Times New Roman" w:cs="Times New Roman"/>
        </w:rPr>
        <w:t>Muhammad bin ‘Isa bin Saurah bin Musa bin ad-Dhahak, Al-Jami’ Al-Kabir, (Berut: Dar Gharib Islami, 1998 H), juz 6.</w:t>
      </w:r>
    </w:p>
  </w:footnote>
  <w:footnote w:id="27">
    <w:p w14:paraId="7BDF7134" w14:textId="5C98786C" w:rsidR="00BA114C" w:rsidRPr="00BA114C" w:rsidRDefault="00BA114C" w:rsidP="00BA114C">
      <w:pPr>
        <w:pStyle w:val="FootnoteText"/>
        <w:jc w:val="both"/>
      </w:pPr>
      <w:r>
        <w:rPr>
          <w:rStyle w:val="FootnoteReference"/>
        </w:rPr>
        <w:footnoteRef/>
      </w:r>
      <w:r>
        <w:t xml:space="preserve"> </w:t>
      </w:r>
      <w:r w:rsidRPr="00DD77B3">
        <w:rPr>
          <w:rFonts w:ascii="Times New Roman" w:hAnsi="Times New Roman" w:cs="Times New Roman"/>
        </w:rPr>
        <w:t>Makna ziina (perhiasan) dalam bahasa arab mempunyai tiga makna yang pertama, bisa bermakna pakaian yang bagus, yang kedua bermakna perhiasan, dan yang ketiga bermakna sesuatu yang biasa dipakai oleh wanita secara umum mulai dari ujung rambutnya, wajah, anggota badan yang lainnya. Imam Qurthubi menjelaskan bahwa makna ziina (perhiasan) disini ada dua macam, yang sifatnya sudah dari asal penciptaannya yang kedua adalah dicari. Adapun yang memang asal penciptaanya adalah seperti wajah dan keindahan anggota tubuh yang tersimpan. Dan yang dicari ialah perhiasan yang diusahakan oleh seorang wanita guna mempercantik tubuhnya, seperti pakaian dan perhiasan, dan makna inilah masuk kepada firman Allah yaitu “dan janganlah mereka menampakan perhiasannya, kecuali yang Nampak dari padanya”.</w:t>
      </w:r>
    </w:p>
  </w:footnote>
  <w:footnote w:id="28">
    <w:p w14:paraId="55DFF0C2" w14:textId="5743BC37" w:rsidR="00BA114C" w:rsidRPr="00BA114C" w:rsidRDefault="00BA114C" w:rsidP="00BA114C">
      <w:pPr>
        <w:pStyle w:val="FootnoteText"/>
        <w:jc w:val="both"/>
      </w:pPr>
      <w:r>
        <w:rPr>
          <w:rStyle w:val="FootnoteReference"/>
        </w:rPr>
        <w:footnoteRef/>
      </w:r>
      <w:r>
        <w:t xml:space="preserve"> </w:t>
      </w:r>
      <w:r w:rsidRPr="00DD77B3">
        <w:rPr>
          <w:rFonts w:ascii="Times New Roman" w:hAnsi="Times New Roman" w:cs="Times New Roman"/>
        </w:rPr>
        <w:t>Perempuan-perempuan tua d</w:t>
      </w:r>
      <w:r>
        <w:rPr>
          <w:rFonts w:ascii="Times New Roman" w:hAnsi="Times New Roman" w:cs="Times New Roman"/>
        </w:rPr>
        <w:t>i</w:t>
      </w:r>
      <w:r w:rsidRPr="00DD77B3">
        <w:rPr>
          <w:rFonts w:ascii="Times New Roman" w:hAnsi="Times New Roman" w:cs="Times New Roman"/>
        </w:rPr>
        <w:t>sini ialah perempuan yang mana telah berhenti masa haidnya, orang tua yang sudah menopause, yang sudah tidak mungkin lagi untuk haid dan hamil, karena usianya yang sudah tua, dimana biasanya mereka sudah tidak ingin menikah dan tidak punya hasrat terhadap lawan jenis.</w:t>
      </w:r>
    </w:p>
  </w:footnote>
  <w:footnote w:id="29">
    <w:p w14:paraId="199B25A9" w14:textId="532BED84" w:rsidR="00BA114C" w:rsidRPr="00BA114C" w:rsidRDefault="00BA114C">
      <w:pPr>
        <w:pStyle w:val="FootnoteText"/>
      </w:pPr>
      <w:r>
        <w:rPr>
          <w:rStyle w:val="FootnoteReference"/>
        </w:rPr>
        <w:footnoteRef/>
      </w:r>
      <w:r>
        <w:t xml:space="preserve"> </w:t>
      </w:r>
      <w:r w:rsidRPr="00DD77B3">
        <w:rPr>
          <w:rFonts w:ascii="Times New Roman" w:hAnsi="Times New Roman" w:cs="Times New Roman"/>
        </w:rPr>
        <w:t>Dalam ayat ini ada kata boleh mena</w:t>
      </w:r>
      <w:r>
        <w:rPr>
          <w:rFonts w:ascii="Times New Roman" w:hAnsi="Times New Roman" w:cs="Times New Roman"/>
        </w:rPr>
        <w:t>n</w:t>
      </w:r>
      <w:r w:rsidRPr="00DD77B3">
        <w:rPr>
          <w:rFonts w:ascii="Times New Roman" w:hAnsi="Times New Roman" w:cs="Times New Roman"/>
        </w:rPr>
        <w:t>ggalkan pakaiannya, menurut ulama tafsir telah sepakat bahwa pakaian yang dimaksud dalam ayat ini adalah jilbab. Adapun makna ayat tersebut ialah izin untuk menanggalkan jilbab dan khimarnya untuk semua wanita tetapi izinnya ditujukan bagi perempuan yang sudah tua, yang tidak punya hasrat untuk berhias, meskipun ada izin untuk menanggalkan jilbabnya mereka tetap harus menjaga diri.</w:t>
      </w:r>
    </w:p>
  </w:footnote>
  <w:footnote w:id="30">
    <w:p w14:paraId="147EB6B1" w14:textId="2614ED7D" w:rsidR="00BA114C" w:rsidRPr="00BA114C" w:rsidRDefault="00BA114C">
      <w:pPr>
        <w:pStyle w:val="FootnoteText"/>
        <w:rPr>
          <w:lang w:val="en-US"/>
        </w:rPr>
      </w:pPr>
      <w:r>
        <w:rPr>
          <w:rStyle w:val="FootnoteReference"/>
        </w:rPr>
        <w:footnoteRef/>
      </w:r>
      <w:r>
        <w:t xml:space="preserve"> </w:t>
      </w:r>
      <w:r w:rsidRPr="00DD77B3">
        <w:rPr>
          <w:rFonts w:ascii="Times New Roman" w:hAnsi="Times New Roman" w:cs="Times New Roman"/>
        </w:rPr>
        <w:t xml:space="preserve">Muhammad Nur Asikh, </w:t>
      </w:r>
      <w:r w:rsidRPr="00DD77B3">
        <w:rPr>
          <w:rFonts w:ascii="Times New Roman" w:hAnsi="Times New Roman" w:cs="Times New Roman"/>
          <w:i/>
        </w:rPr>
        <w:t>“Makna Tabarruj Menurut M. Quraish Shihab Dalam Tafir Al-Misbah dan Relevansinya Di Era Sekarang”</w:t>
      </w:r>
      <w:r w:rsidRPr="00DD77B3">
        <w:rPr>
          <w:rFonts w:ascii="Times New Roman" w:hAnsi="Times New Roman" w:cs="Times New Roman"/>
        </w:rPr>
        <w:t>, (Skripsi S1 Fakultas Ushuluddin dan Humaniora UIN Walisongo Semarang 2018), h. 39-49.</w:t>
      </w:r>
    </w:p>
  </w:footnote>
  <w:footnote w:id="31">
    <w:p w14:paraId="0A6BC7CE" w14:textId="6B7449EB" w:rsidR="00F1176C" w:rsidRPr="00F1176C" w:rsidRDefault="00F1176C">
      <w:pPr>
        <w:pStyle w:val="FootnoteText"/>
        <w:rPr>
          <w:lang w:val="en-US"/>
        </w:rPr>
      </w:pPr>
      <w:r>
        <w:rPr>
          <w:rStyle w:val="FootnoteReference"/>
        </w:rPr>
        <w:footnoteRef/>
      </w:r>
      <w:r>
        <w:t xml:space="preserve"> </w:t>
      </w:r>
      <w:r w:rsidRPr="00DD77B3">
        <w:rPr>
          <w:rFonts w:ascii="Times New Roman" w:hAnsi="Times New Roman" w:cs="Times New Roman"/>
        </w:rPr>
        <w:t xml:space="preserve">M. Quraish Shihab, </w:t>
      </w:r>
      <w:r w:rsidRPr="00022D2F">
        <w:rPr>
          <w:rFonts w:ascii="Times New Roman" w:hAnsi="Times New Roman" w:cs="Times New Roman"/>
          <w:i/>
        </w:rPr>
        <w:t>“Tafsir Al-Mishbah Pesan,Kesan dan Keserasian Al-Qur’an”</w:t>
      </w:r>
      <w:r>
        <w:rPr>
          <w:rFonts w:ascii="Times New Roman" w:hAnsi="Times New Roman" w:cs="Times New Roman"/>
        </w:rPr>
        <w:t>,</w:t>
      </w:r>
      <w:r w:rsidRPr="00DD77B3">
        <w:rPr>
          <w:rFonts w:ascii="Times New Roman" w:hAnsi="Times New Roman" w:cs="Times New Roman"/>
        </w:rPr>
        <w:t xml:space="preserve"> Vol 11, Ibid., h. 465.</w:t>
      </w:r>
    </w:p>
  </w:footnote>
  <w:footnote w:id="32">
    <w:p w14:paraId="64971621" w14:textId="2A49FCCD" w:rsidR="00F1176C" w:rsidRPr="00F1176C" w:rsidRDefault="00F1176C">
      <w:pPr>
        <w:pStyle w:val="FootnoteText"/>
        <w:rPr>
          <w:lang w:val="en-US"/>
        </w:rPr>
      </w:pPr>
      <w:r>
        <w:rPr>
          <w:rStyle w:val="FootnoteReference"/>
        </w:rPr>
        <w:footnoteRef/>
      </w:r>
      <w:r w:rsidRPr="00DD77B3">
        <w:rPr>
          <w:rFonts w:ascii="Times New Roman" w:hAnsi="Times New Roman" w:cs="Times New Roman"/>
        </w:rPr>
        <w:t>Ibid., h. 465.</w:t>
      </w:r>
    </w:p>
  </w:footnote>
  <w:footnote w:id="33">
    <w:p w14:paraId="25A74EE3" w14:textId="14F14FB6" w:rsidR="00F1176C" w:rsidRPr="00F1176C" w:rsidRDefault="00F1176C">
      <w:pPr>
        <w:pStyle w:val="FootnoteText"/>
        <w:rPr>
          <w:lang w:val="en-US"/>
        </w:rPr>
      </w:pPr>
      <w:r>
        <w:rPr>
          <w:rStyle w:val="FootnoteReference"/>
        </w:rPr>
        <w:footnoteRef/>
      </w:r>
      <w:r>
        <w:t xml:space="preserve"> </w:t>
      </w:r>
      <w:r w:rsidRPr="00DD77B3">
        <w:rPr>
          <w:rFonts w:ascii="Times New Roman" w:hAnsi="Times New Roman" w:cs="Times New Roman"/>
        </w:rPr>
        <w:t>Ibid., h. 466.</w:t>
      </w:r>
    </w:p>
  </w:footnote>
  <w:footnote w:id="34">
    <w:p w14:paraId="03C7576C" w14:textId="6C095F60" w:rsidR="00F1176C" w:rsidRPr="00F1176C" w:rsidRDefault="00F1176C">
      <w:pPr>
        <w:pStyle w:val="FootnoteText"/>
        <w:rPr>
          <w:lang w:val="en-US"/>
        </w:rPr>
      </w:pPr>
      <w:r>
        <w:rPr>
          <w:rStyle w:val="FootnoteReference"/>
        </w:rPr>
        <w:footnoteRef/>
      </w:r>
      <w:r>
        <w:t xml:space="preserve"> </w:t>
      </w:r>
      <w:r w:rsidRPr="00DD77B3">
        <w:rPr>
          <w:rFonts w:ascii="Times New Roman" w:hAnsi="Times New Roman" w:cs="Times New Roman"/>
        </w:rPr>
        <w:t>Ibid., h.466.</w:t>
      </w:r>
    </w:p>
  </w:footnote>
  <w:footnote w:id="35">
    <w:p w14:paraId="5288FBAD" w14:textId="4B31AC35" w:rsidR="00F1176C" w:rsidRPr="00F1176C" w:rsidRDefault="00F1176C">
      <w:pPr>
        <w:pStyle w:val="FootnoteText"/>
        <w:rPr>
          <w:lang w:val="en-US"/>
        </w:rPr>
      </w:pPr>
      <w:r>
        <w:rPr>
          <w:rStyle w:val="FootnoteReference"/>
        </w:rPr>
        <w:footnoteRef/>
      </w:r>
      <w:r>
        <w:t xml:space="preserve"> </w:t>
      </w:r>
      <w:r w:rsidRPr="00DD77B3">
        <w:rPr>
          <w:rFonts w:ascii="Times New Roman" w:hAnsi="Times New Roman" w:cs="Times New Roman"/>
        </w:rPr>
        <w:t xml:space="preserve">M. Quraish Shihab, </w:t>
      </w:r>
      <w:r w:rsidRPr="008E7621">
        <w:rPr>
          <w:rFonts w:ascii="Times New Roman" w:hAnsi="Times New Roman" w:cs="Times New Roman"/>
          <w:i/>
        </w:rPr>
        <w:t>“Tafsir Al-Mishbah Pesan, Kesan dan Keserasian Al-Qur’an”</w:t>
      </w:r>
      <w:r w:rsidRPr="00DD77B3">
        <w:rPr>
          <w:rFonts w:ascii="Times New Roman" w:hAnsi="Times New Roman" w:cs="Times New Roman"/>
        </w:rPr>
        <w:t>, volume 11, Jakarta: Lentera Hati, (2002), hal. 264.</w:t>
      </w:r>
    </w:p>
  </w:footnote>
  <w:footnote w:id="36">
    <w:p w14:paraId="0B87A5CB" w14:textId="1F612625" w:rsidR="00F1176C" w:rsidRPr="00F1176C" w:rsidRDefault="00F1176C">
      <w:pPr>
        <w:pStyle w:val="FootnoteText"/>
        <w:rPr>
          <w:lang w:val="en-US"/>
        </w:rPr>
      </w:pPr>
      <w:r>
        <w:rPr>
          <w:rStyle w:val="FootnoteReference"/>
        </w:rPr>
        <w:footnoteRef/>
      </w:r>
      <w:r>
        <w:t xml:space="preserve"> </w:t>
      </w:r>
      <w:r w:rsidRPr="008E7621">
        <w:rPr>
          <w:rFonts w:ascii="Times New Roman" w:hAnsi="Times New Roman" w:cs="Times New Roman"/>
        </w:rPr>
        <w:t xml:space="preserve">Imad Zaki Al-Barudi, </w:t>
      </w:r>
      <w:r w:rsidRPr="008E7621">
        <w:rPr>
          <w:rFonts w:ascii="Times New Roman" w:hAnsi="Times New Roman" w:cs="Times New Roman"/>
          <w:i/>
        </w:rPr>
        <w:t>“Tafsir Al-Qur’an Wanita”</w:t>
      </w:r>
      <w:r w:rsidRPr="008E7621">
        <w:rPr>
          <w:rFonts w:ascii="Times New Roman" w:hAnsi="Times New Roman" w:cs="Times New Roman"/>
        </w:rPr>
        <w:t>, Terj. Samson Rahman, Pena Pundi Aksara, Jakarta, h. 314-316.</w:t>
      </w:r>
    </w:p>
  </w:footnote>
  <w:footnote w:id="37">
    <w:p w14:paraId="57F3C747" w14:textId="76055E6C" w:rsidR="00F1176C" w:rsidRPr="00F1176C" w:rsidRDefault="00F1176C">
      <w:pPr>
        <w:pStyle w:val="FootnoteText"/>
      </w:pPr>
      <w:r>
        <w:rPr>
          <w:rStyle w:val="FootnoteReference"/>
        </w:rPr>
        <w:footnoteRef/>
      </w:r>
      <w:r>
        <w:t xml:space="preserve"> </w:t>
      </w:r>
      <w:r w:rsidRPr="002F22FA">
        <w:rPr>
          <w:rFonts w:ascii="Times New Roman" w:hAnsi="Times New Roman" w:cs="Times New Roman"/>
        </w:rPr>
        <w:t xml:space="preserve">Syaikh Abdul Aziz bin Abdullah bin Baaz, </w:t>
      </w:r>
      <w:r w:rsidRPr="002F22FA">
        <w:rPr>
          <w:rFonts w:ascii="Times New Roman" w:hAnsi="Times New Roman" w:cs="Times New Roman"/>
          <w:i/>
        </w:rPr>
        <w:t>“Fatwa-Fatwa Kewanitaan”</w:t>
      </w:r>
      <w:r w:rsidRPr="002F22FA">
        <w:rPr>
          <w:rFonts w:ascii="Times New Roman" w:hAnsi="Times New Roman" w:cs="Times New Roman"/>
        </w:rPr>
        <w:t>, M. Ridho, CV. Firdaus, Jakarta, 1994, h.</w:t>
      </w:r>
      <w:r>
        <w:rPr>
          <w:rFonts w:ascii="Times New Roman" w:hAnsi="Times New Roman" w:cs="Times New Roman"/>
        </w:rPr>
        <w:t xml:space="preserve"> </w:t>
      </w:r>
      <w:r w:rsidRPr="002F22FA">
        <w:rPr>
          <w:rFonts w:ascii="Times New Roman" w:hAnsi="Times New Roman" w:cs="Times New Roman"/>
        </w:rPr>
        <w:t>5.</w:t>
      </w:r>
    </w:p>
  </w:footnote>
  <w:footnote w:id="38">
    <w:p w14:paraId="2C551BC5" w14:textId="2DBB5FCE" w:rsidR="00F1176C" w:rsidRPr="00F1176C" w:rsidRDefault="00F1176C">
      <w:pPr>
        <w:pStyle w:val="FootnoteText"/>
        <w:rPr>
          <w:lang w:val="en-US"/>
        </w:rPr>
      </w:pPr>
      <w:r>
        <w:rPr>
          <w:rStyle w:val="FootnoteReference"/>
        </w:rPr>
        <w:footnoteRef/>
      </w:r>
      <w:r>
        <w:t xml:space="preserve"> </w:t>
      </w:r>
      <w:r w:rsidRPr="002F22FA">
        <w:rPr>
          <w:rFonts w:ascii="Times New Roman" w:hAnsi="Times New Roman" w:cs="Times New Roman"/>
        </w:rPr>
        <w:t>M. Qu</w:t>
      </w:r>
      <w:r>
        <w:rPr>
          <w:rFonts w:ascii="Times New Roman" w:hAnsi="Times New Roman" w:cs="Times New Roman"/>
        </w:rPr>
        <w:t xml:space="preserve">raish Shihab, </w:t>
      </w:r>
      <w:r w:rsidRPr="002F22FA">
        <w:rPr>
          <w:rFonts w:ascii="Times New Roman" w:hAnsi="Times New Roman" w:cs="Times New Roman"/>
          <w:i/>
        </w:rPr>
        <w:t>“Al-Lubab”</w:t>
      </w:r>
      <w:r w:rsidRPr="002F22FA">
        <w:rPr>
          <w:rFonts w:ascii="Times New Roman" w:hAnsi="Times New Roman" w:cs="Times New Roman"/>
        </w:rPr>
        <w:t>, h. 622.</w:t>
      </w:r>
    </w:p>
  </w:footnote>
  <w:footnote w:id="39">
    <w:p w14:paraId="555E1F91" w14:textId="707A611E" w:rsidR="00F1176C" w:rsidRPr="00F1176C" w:rsidRDefault="00F1176C" w:rsidP="00F1176C">
      <w:pPr>
        <w:pStyle w:val="FootnoteText"/>
        <w:jc w:val="both"/>
      </w:pPr>
      <w:r>
        <w:rPr>
          <w:rStyle w:val="FootnoteReference"/>
        </w:rPr>
        <w:footnoteRef/>
      </w:r>
      <w:r>
        <w:t xml:space="preserve"> </w:t>
      </w:r>
      <w:r w:rsidRPr="00B547AC">
        <w:rPr>
          <w:rFonts w:ascii="Times New Roman" w:hAnsi="Times New Roman" w:cs="Times New Roman"/>
        </w:rPr>
        <w:t>Romafi</w:t>
      </w:r>
      <w:r>
        <w:rPr>
          <w:rFonts w:ascii="Times New Roman" w:hAnsi="Times New Roman" w:cs="Times New Roman"/>
        </w:rPr>
        <w:t xml:space="preserve"> </w:t>
      </w:r>
      <w:r w:rsidRPr="00B547AC">
        <w:rPr>
          <w:rFonts w:ascii="Times New Roman" w:hAnsi="Times New Roman" w:cs="Times New Roman"/>
        </w:rPr>
        <w:t>Wahyu</w:t>
      </w:r>
      <w:r>
        <w:rPr>
          <w:rFonts w:ascii="Times New Roman" w:hAnsi="Times New Roman" w:cs="Times New Roman"/>
        </w:rPr>
        <w:t xml:space="preserve"> </w:t>
      </w:r>
      <w:r w:rsidRPr="00B547AC">
        <w:rPr>
          <w:rFonts w:ascii="Times New Roman" w:hAnsi="Times New Roman" w:cs="Times New Roman"/>
        </w:rPr>
        <w:t>Kurniawan</w:t>
      </w:r>
      <w:r>
        <w:rPr>
          <w:rFonts w:ascii="Times New Roman" w:hAnsi="Times New Roman" w:cs="Times New Roman"/>
        </w:rPr>
        <w:t xml:space="preserve"> </w:t>
      </w:r>
      <w:hyperlink r:id="rId1" w:history="1">
        <w:r w:rsidRPr="00B547AC">
          <w:rPr>
            <w:rStyle w:val="Hyperlink"/>
            <w:rFonts w:ascii="Times New Roman" w:hAnsi="Times New Roman" w:cs="Times New Roman"/>
          </w:rPr>
          <w:t>https://www.google.com/amp/s/www.jawapos.com/lifestyle/amp/011773713/hukum-flexing-menurut-islam-ternyata-bisa-berdampak-seperti-ini-untuk-orang-lain</w:t>
        </w:r>
      </w:hyperlink>
      <w:r w:rsidRPr="00B547AC">
        <w:rPr>
          <w:rFonts w:ascii="Times New Roman" w:hAnsi="Times New Roman" w:cs="Times New Roman"/>
        </w:rPr>
        <w:t xml:space="preserve"> (diakses pada Selasa pukul 23.44 WIB).</w:t>
      </w:r>
    </w:p>
  </w:footnote>
  <w:footnote w:id="40">
    <w:p w14:paraId="72089D54" w14:textId="073E502E" w:rsidR="00F1176C" w:rsidRPr="00F1176C" w:rsidRDefault="00F1176C">
      <w:pPr>
        <w:pStyle w:val="FootnoteText"/>
        <w:rPr>
          <w:lang w:val="en-US"/>
        </w:rPr>
      </w:pPr>
      <w:r>
        <w:rPr>
          <w:rStyle w:val="FootnoteReference"/>
        </w:rPr>
        <w:footnoteRef/>
      </w:r>
      <w:r>
        <w:t xml:space="preserve"> </w:t>
      </w:r>
      <w:r w:rsidRPr="00DD77B3">
        <w:rPr>
          <w:rFonts w:ascii="Times New Roman" w:hAnsi="Times New Roman" w:cs="Times New Roman"/>
        </w:rPr>
        <w:t xml:space="preserve">Yusuf Qardhawi, et.al., </w:t>
      </w:r>
      <w:r w:rsidRPr="00760944">
        <w:rPr>
          <w:rFonts w:ascii="Times New Roman" w:hAnsi="Times New Roman" w:cs="Times New Roman"/>
          <w:i/>
        </w:rPr>
        <w:t>“Ensiklopedi Muslimah Modern”</w:t>
      </w:r>
      <w:r>
        <w:rPr>
          <w:rFonts w:ascii="Times New Roman" w:hAnsi="Times New Roman" w:cs="Times New Roman"/>
        </w:rPr>
        <w:t>, Pustaka I</w:t>
      </w:r>
      <w:r w:rsidRPr="00DD77B3">
        <w:rPr>
          <w:rFonts w:ascii="Times New Roman" w:hAnsi="Times New Roman" w:cs="Times New Roman"/>
        </w:rPr>
        <w:t>man, Depok, 2009, h. 414-415.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DE990" w14:textId="77777777" w:rsidR="00051EDF" w:rsidRDefault="00051EDF" w:rsidP="00051EDF">
    <w:pPr>
      <w:spacing w:before="85"/>
      <w:ind w:left="102"/>
      <w:rPr>
        <w:b/>
        <w:sz w:val="18"/>
      </w:rPr>
    </w:pPr>
    <w:r>
      <w:rPr>
        <w:b/>
        <w:sz w:val="18"/>
      </w:rPr>
      <w:t xml:space="preserve">JURNAL </w:t>
    </w:r>
    <w:r>
      <w:rPr>
        <w:b/>
        <w:spacing w:val="-2"/>
        <w:sz w:val="18"/>
      </w:rPr>
      <w:t>KAWRUH</w:t>
    </w:r>
  </w:p>
  <w:p w14:paraId="442621C3" w14:textId="1DB04734" w:rsidR="00051EDF" w:rsidRDefault="00051EDF" w:rsidP="00051EDF">
    <w:pPr>
      <w:ind w:left="102"/>
      <w:rPr>
        <w:sz w:val="18"/>
      </w:rPr>
    </w:pPr>
    <w:r>
      <w:rPr>
        <w:sz w:val="18"/>
      </w:rPr>
      <w:t>Volume</w:t>
    </w:r>
    <w:r>
      <w:rPr>
        <w:spacing w:val="-4"/>
        <w:sz w:val="18"/>
      </w:rPr>
      <w:t xml:space="preserve"> 2</w:t>
    </w:r>
    <w:r>
      <w:rPr>
        <w:sz w:val="18"/>
      </w:rPr>
      <w:t xml:space="preserve"> Nomor</w:t>
    </w:r>
    <w:r>
      <w:rPr>
        <w:spacing w:val="-1"/>
        <w:sz w:val="18"/>
      </w:rPr>
      <w:t xml:space="preserve"> </w:t>
    </w:r>
    <w:r>
      <w:rPr>
        <w:sz w:val="18"/>
      </w:rPr>
      <w:t>1,</w:t>
    </w:r>
    <w:r>
      <w:rPr>
        <w:spacing w:val="-5"/>
        <w:sz w:val="18"/>
      </w:rPr>
      <w:t xml:space="preserve"> </w:t>
    </w:r>
    <w:r>
      <w:rPr>
        <w:sz w:val="18"/>
      </w:rPr>
      <w:t>Tahun</w:t>
    </w:r>
    <w:r>
      <w:rPr>
        <w:spacing w:val="-1"/>
        <w:sz w:val="18"/>
      </w:rPr>
      <w:t xml:space="preserve"> </w:t>
    </w:r>
    <w:r>
      <w:rPr>
        <w:spacing w:val="-4"/>
        <w:sz w:val="18"/>
      </w:rPr>
      <w:t>2024</w:t>
    </w:r>
  </w:p>
  <w:p w14:paraId="05EA17C6" w14:textId="009EC9EB" w:rsidR="00051EDF" w:rsidRDefault="00051EDF" w:rsidP="00051EDF">
    <w:pPr>
      <w:ind w:left="102"/>
      <w:rPr>
        <w:b/>
        <w:sz w:val="18"/>
      </w:rPr>
    </w:pPr>
  </w:p>
  <w:p w14:paraId="6B2BB1A9" w14:textId="77777777" w:rsidR="00051EDF" w:rsidRDefault="00051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B046A"/>
    <w:multiLevelType w:val="hybridMultilevel"/>
    <w:tmpl w:val="A1F6C4C6"/>
    <w:lvl w:ilvl="0" w:tplc="A3789F38">
      <w:start w:val="1"/>
      <w:numFmt w:val="decimal"/>
      <w:lvlText w:val="%1."/>
      <w:lvlJc w:val="left"/>
      <w:pPr>
        <w:ind w:left="1440" w:hanging="720"/>
      </w:pPr>
      <w:rPr>
        <w:rFonts w:cs="Times New Roman" w:hint="default"/>
        <w:sz w:val="18"/>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7A94283"/>
    <w:multiLevelType w:val="hybridMultilevel"/>
    <w:tmpl w:val="31BC6436"/>
    <w:lvl w:ilvl="0" w:tplc="4D1ECAD2">
      <w:start w:val="1"/>
      <w:numFmt w:val="lowerLetter"/>
      <w:lvlText w:val="%1."/>
      <w:lvlJc w:val="left"/>
      <w:pPr>
        <w:ind w:left="1440" w:hanging="720"/>
      </w:pPr>
      <w:rPr>
        <w:rFonts w:hint="default"/>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CE46F7C"/>
    <w:multiLevelType w:val="hybridMultilevel"/>
    <w:tmpl w:val="04F6D1FA"/>
    <w:lvl w:ilvl="0" w:tplc="CF2427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B6938"/>
    <w:multiLevelType w:val="hybridMultilevel"/>
    <w:tmpl w:val="196ECF16"/>
    <w:lvl w:ilvl="0" w:tplc="4D1ECAD2">
      <w:start w:val="1"/>
      <w:numFmt w:val="lowerLetter"/>
      <w:lvlText w:val="%1."/>
      <w:lvlJc w:val="left"/>
      <w:pPr>
        <w:ind w:left="720" w:hanging="360"/>
      </w:pPr>
      <w:rPr>
        <w:rFonts w:hint="default"/>
        <w:szCs w:val="18"/>
      </w:rPr>
    </w:lvl>
    <w:lvl w:ilvl="1" w:tplc="04090019">
      <w:start w:val="1"/>
      <w:numFmt w:val="lowerLetter"/>
      <w:lvlText w:val="%2."/>
      <w:lvlJc w:val="left"/>
      <w:pPr>
        <w:ind w:left="1440" w:hanging="360"/>
      </w:pPr>
    </w:lvl>
    <w:lvl w:ilvl="2" w:tplc="F62A56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177FD"/>
    <w:multiLevelType w:val="hybridMultilevel"/>
    <w:tmpl w:val="D430B5AA"/>
    <w:lvl w:ilvl="0" w:tplc="EC60BBD2">
      <w:start w:val="1"/>
      <w:numFmt w:val="lowerLetter"/>
      <w:lvlText w:val="%1."/>
      <w:lvlJc w:val="left"/>
      <w:pPr>
        <w:ind w:left="734" w:hanging="284"/>
        <w:jc w:val="left"/>
      </w:pPr>
      <w:rPr>
        <w:rFonts w:ascii="Cambria" w:eastAsia="Cambria" w:hAnsi="Cambria" w:cs="Cambria" w:hint="default"/>
        <w:b/>
        <w:bCs/>
        <w:i w:val="0"/>
        <w:iCs w:val="0"/>
        <w:spacing w:val="0"/>
        <w:w w:val="100"/>
        <w:sz w:val="24"/>
        <w:szCs w:val="24"/>
        <w:lang w:val="id" w:eastAsia="en-US" w:bidi="ar-SA"/>
      </w:rPr>
    </w:lvl>
    <w:lvl w:ilvl="1" w:tplc="1EEA3C3A">
      <w:numFmt w:val="bullet"/>
      <w:lvlText w:val="•"/>
      <w:lvlJc w:val="left"/>
      <w:pPr>
        <w:ind w:left="1563" w:hanging="284"/>
      </w:pPr>
      <w:rPr>
        <w:rFonts w:hint="default"/>
        <w:lang w:val="id" w:eastAsia="en-US" w:bidi="ar-SA"/>
      </w:rPr>
    </w:lvl>
    <w:lvl w:ilvl="2" w:tplc="FF9A70CE">
      <w:numFmt w:val="bullet"/>
      <w:lvlText w:val="•"/>
      <w:lvlJc w:val="left"/>
      <w:pPr>
        <w:ind w:left="2398" w:hanging="284"/>
      </w:pPr>
      <w:rPr>
        <w:rFonts w:hint="default"/>
        <w:lang w:val="id" w:eastAsia="en-US" w:bidi="ar-SA"/>
      </w:rPr>
    </w:lvl>
    <w:lvl w:ilvl="3" w:tplc="10A269A4">
      <w:numFmt w:val="bullet"/>
      <w:lvlText w:val="•"/>
      <w:lvlJc w:val="left"/>
      <w:pPr>
        <w:ind w:left="3233" w:hanging="284"/>
      </w:pPr>
      <w:rPr>
        <w:rFonts w:hint="default"/>
        <w:lang w:val="id" w:eastAsia="en-US" w:bidi="ar-SA"/>
      </w:rPr>
    </w:lvl>
    <w:lvl w:ilvl="4" w:tplc="52527B1A">
      <w:numFmt w:val="bullet"/>
      <w:lvlText w:val="•"/>
      <w:lvlJc w:val="left"/>
      <w:pPr>
        <w:ind w:left="4068" w:hanging="284"/>
      </w:pPr>
      <w:rPr>
        <w:rFonts w:hint="default"/>
        <w:lang w:val="id" w:eastAsia="en-US" w:bidi="ar-SA"/>
      </w:rPr>
    </w:lvl>
    <w:lvl w:ilvl="5" w:tplc="36D4E666">
      <w:numFmt w:val="bullet"/>
      <w:lvlText w:val="•"/>
      <w:lvlJc w:val="left"/>
      <w:pPr>
        <w:ind w:left="4903" w:hanging="284"/>
      </w:pPr>
      <w:rPr>
        <w:rFonts w:hint="default"/>
        <w:lang w:val="id" w:eastAsia="en-US" w:bidi="ar-SA"/>
      </w:rPr>
    </w:lvl>
    <w:lvl w:ilvl="6" w:tplc="864EDE9A">
      <w:numFmt w:val="bullet"/>
      <w:lvlText w:val="•"/>
      <w:lvlJc w:val="left"/>
      <w:pPr>
        <w:ind w:left="5738" w:hanging="284"/>
      </w:pPr>
      <w:rPr>
        <w:rFonts w:hint="default"/>
        <w:lang w:val="id" w:eastAsia="en-US" w:bidi="ar-SA"/>
      </w:rPr>
    </w:lvl>
    <w:lvl w:ilvl="7" w:tplc="71567942">
      <w:numFmt w:val="bullet"/>
      <w:lvlText w:val="•"/>
      <w:lvlJc w:val="left"/>
      <w:pPr>
        <w:ind w:left="6573" w:hanging="284"/>
      </w:pPr>
      <w:rPr>
        <w:rFonts w:hint="default"/>
        <w:lang w:val="id" w:eastAsia="en-US" w:bidi="ar-SA"/>
      </w:rPr>
    </w:lvl>
    <w:lvl w:ilvl="8" w:tplc="657816F2">
      <w:numFmt w:val="bullet"/>
      <w:lvlText w:val="•"/>
      <w:lvlJc w:val="left"/>
      <w:pPr>
        <w:ind w:left="7408" w:hanging="284"/>
      </w:pPr>
      <w:rPr>
        <w:rFonts w:hint="default"/>
        <w:lang w:val="id" w:eastAsia="en-US" w:bidi="ar-SA"/>
      </w:rPr>
    </w:lvl>
  </w:abstractNum>
  <w:abstractNum w:abstractNumId="5" w15:restartNumberingAfterBreak="0">
    <w:nsid w:val="6D8C5E7F"/>
    <w:multiLevelType w:val="hybridMultilevel"/>
    <w:tmpl w:val="83DA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70357"/>
    <w:multiLevelType w:val="hybridMultilevel"/>
    <w:tmpl w:val="C4E41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376797">
    <w:abstractNumId w:val="4"/>
  </w:num>
  <w:num w:numId="2" w16cid:durableId="1677683271">
    <w:abstractNumId w:val="6"/>
  </w:num>
  <w:num w:numId="3" w16cid:durableId="1879312372">
    <w:abstractNumId w:val="5"/>
  </w:num>
  <w:num w:numId="4" w16cid:durableId="265622281">
    <w:abstractNumId w:val="2"/>
  </w:num>
  <w:num w:numId="5" w16cid:durableId="1980567824">
    <w:abstractNumId w:val="0"/>
  </w:num>
  <w:num w:numId="6" w16cid:durableId="1598635852">
    <w:abstractNumId w:val="1"/>
  </w:num>
  <w:num w:numId="7" w16cid:durableId="307366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5A"/>
    <w:rsid w:val="00051EDF"/>
    <w:rsid w:val="000550CA"/>
    <w:rsid w:val="000B27BA"/>
    <w:rsid w:val="001D28F7"/>
    <w:rsid w:val="001D54D3"/>
    <w:rsid w:val="00207875"/>
    <w:rsid w:val="002A1238"/>
    <w:rsid w:val="003F0A37"/>
    <w:rsid w:val="005A2D5A"/>
    <w:rsid w:val="006B261B"/>
    <w:rsid w:val="0071640E"/>
    <w:rsid w:val="00786A3E"/>
    <w:rsid w:val="00795D10"/>
    <w:rsid w:val="007C12F9"/>
    <w:rsid w:val="00896998"/>
    <w:rsid w:val="00903CCB"/>
    <w:rsid w:val="0092521C"/>
    <w:rsid w:val="009348F2"/>
    <w:rsid w:val="009B2842"/>
    <w:rsid w:val="009C3EC0"/>
    <w:rsid w:val="00AA29B6"/>
    <w:rsid w:val="00B36C0A"/>
    <w:rsid w:val="00BA114C"/>
    <w:rsid w:val="00BB6EC1"/>
    <w:rsid w:val="00D14F19"/>
    <w:rsid w:val="00D369AB"/>
    <w:rsid w:val="00D84CB5"/>
    <w:rsid w:val="00DF1FF7"/>
    <w:rsid w:val="00EF72B9"/>
    <w:rsid w:val="00F1176C"/>
    <w:rsid w:val="00F63A20"/>
    <w:rsid w:val="00FE0A5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1956"/>
  <w15:docId w15:val="{F03D4B46-AD45-4E8F-843F-B6DCB1BC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102"/>
      <w:outlineLvl w:val="0"/>
    </w:pPr>
    <w:rPr>
      <w:b/>
      <w:bCs/>
      <w:sz w:val="24"/>
      <w:szCs w:val="24"/>
    </w:rPr>
  </w:style>
  <w:style w:type="paragraph" w:styleId="Heading2">
    <w:name w:val="heading 2"/>
    <w:basedOn w:val="Normal"/>
    <w:uiPriority w:val="9"/>
    <w:unhideWhenUsed/>
    <w:qFormat/>
    <w:pPr>
      <w:ind w:left="384" w:hanging="28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4"/>
      <w:jc w:val="center"/>
    </w:pPr>
    <w:rPr>
      <w:b/>
      <w:bCs/>
      <w:sz w:val="28"/>
      <w:szCs w:val="28"/>
    </w:rPr>
  </w:style>
  <w:style w:type="paragraph" w:styleId="ListParagraph">
    <w:name w:val="List Paragraph"/>
    <w:aliases w:val="Body of text"/>
    <w:basedOn w:val="Normal"/>
    <w:link w:val="ListParagraphChar"/>
    <w:uiPriority w:val="34"/>
    <w:qFormat/>
    <w:pPr>
      <w:ind w:left="384" w:hanging="282"/>
      <w:jc w:val="both"/>
    </w:pPr>
  </w:style>
  <w:style w:type="paragraph" w:customStyle="1" w:styleId="TableParagraph">
    <w:name w:val="Table Paragraph"/>
    <w:basedOn w:val="Normal"/>
    <w:uiPriority w:val="1"/>
    <w:qFormat/>
    <w:pPr>
      <w:spacing w:line="278" w:lineRule="exact"/>
      <w:ind w:left="467"/>
    </w:pPr>
  </w:style>
  <w:style w:type="paragraph" w:styleId="Header">
    <w:name w:val="header"/>
    <w:basedOn w:val="Normal"/>
    <w:link w:val="HeaderChar"/>
    <w:uiPriority w:val="99"/>
    <w:unhideWhenUsed/>
    <w:rsid w:val="00051EDF"/>
    <w:pPr>
      <w:tabs>
        <w:tab w:val="center" w:pos="4680"/>
        <w:tab w:val="right" w:pos="9360"/>
      </w:tabs>
    </w:pPr>
  </w:style>
  <w:style w:type="character" w:customStyle="1" w:styleId="HeaderChar">
    <w:name w:val="Header Char"/>
    <w:basedOn w:val="DefaultParagraphFont"/>
    <w:link w:val="Header"/>
    <w:uiPriority w:val="99"/>
    <w:rsid w:val="00051EDF"/>
    <w:rPr>
      <w:rFonts w:ascii="Cambria" w:eastAsia="Cambria" w:hAnsi="Cambria" w:cs="Cambria"/>
      <w:lang w:val="id"/>
    </w:rPr>
  </w:style>
  <w:style w:type="paragraph" w:styleId="Footer">
    <w:name w:val="footer"/>
    <w:basedOn w:val="Normal"/>
    <w:link w:val="FooterChar"/>
    <w:uiPriority w:val="99"/>
    <w:unhideWhenUsed/>
    <w:rsid w:val="00051EDF"/>
    <w:pPr>
      <w:tabs>
        <w:tab w:val="center" w:pos="4680"/>
        <w:tab w:val="right" w:pos="9360"/>
      </w:tabs>
    </w:pPr>
  </w:style>
  <w:style w:type="character" w:customStyle="1" w:styleId="FooterChar">
    <w:name w:val="Footer Char"/>
    <w:basedOn w:val="DefaultParagraphFont"/>
    <w:link w:val="Footer"/>
    <w:uiPriority w:val="99"/>
    <w:rsid w:val="00051EDF"/>
    <w:rPr>
      <w:rFonts w:ascii="Cambria" w:eastAsia="Cambria" w:hAnsi="Cambria" w:cs="Cambria"/>
      <w:lang w:val="id"/>
    </w:rPr>
  </w:style>
  <w:style w:type="character" w:styleId="Hyperlink">
    <w:name w:val="Hyperlink"/>
    <w:basedOn w:val="DefaultParagraphFont"/>
    <w:uiPriority w:val="99"/>
    <w:unhideWhenUsed/>
    <w:rsid w:val="00051EDF"/>
    <w:rPr>
      <w:color w:val="0000FF" w:themeColor="hyperlink"/>
      <w:u w:val="single"/>
    </w:rPr>
  </w:style>
  <w:style w:type="character" w:styleId="UnresolvedMention">
    <w:name w:val="Unresolved Mention"/>
    <w:basedOn w:val="DefaultParagraphFont"/>
    <w:uiPriority w:val="99"/>
    <w:semiHidden/>
    <w:unhideWhenUsed/>
    <w:rsid w:val="00051EDF"/>
    <w:rPr>
      <w:color w:val="605E5C"/>
      <w:shd w:val="clear" w:color="auto" w:fill="E1DFDD"/>
    </w:rPr>
  </w:style>
  <w:style w:type="paragraph" w:styleId="FootnoteText">
    <w:name w:val="footnote text"/>
    <w:basedOn w:val="Normal"/>
    <w:link w:val="FootnoteTextChar"/>
    <w:uiPriority w:val="99"/>
    <w:unhideWhenUsed/>
    <w:rsid w:val="00D14F19"/>
    <w:rPr>
      <w:sz w:val="20"/>
      <w:szCs w:val="20"/>
    </w:rPr>
  </w:style>
  <w:style w:type="character" w:customStyle="1" w:styleId="FootnoteTextChar">
    <w:name w:val="Footnote Text Char"/>
    <w:basedOn w:val="DefaultParagraphFont"/>
    <w:link w:val="FootnoteText"/>
    <w:uiPriority w:val="99"/>
    <w:rsid w:val="00D14F19"/>
    <w:rPr>
      <w:rFonts w:ascii="Cambria" w:eastAsia="Cambria" w:hAnsi="Cambria" w:cs="Cambria"/>
      <w:sz w:val="20"/>
      <w:szCs w:val="20"/>
      <w:lang w:val="id"/>
    </w:rPr>
  </w:style>
  <w:style w:type="character" w:styleId="FootnoteReference">
    <w:name w:val="footnote reference"/>
    <w:basedOn w:val="DefaultParagraphFont"/>
    <w:uiPriority w:val="99"/>
    <w:unhideWhenUsed/>
    <w:rsid w:val="00D14F19"/>
    <w:rPr>
      <w:vertAlign w:val="superscript"/>
    </w:rPr>
  </w:style>
  <w:style w:type="character" w:customStyle="1" w:styleId="ListParagraphChar">
    <w:name w:val="List Paragraph Char"/>
    <w:aliases w:val="Body of text Char"/>
    <w:link w:val="ListParagraph"/>
    <w:uiPriority w:val="34"/>
    <w:locked/>
    <w:rsid w:val="002A1238"/>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abibahnuraini475@gmail.com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menag.go.id/opini/al-quran-dan-ilmu-pengetahuan-eeubh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amp/s/www.jawapos.com/lifestyle/amp/011773713/hukum-flexing-menurut-islam-ternyata-bisa-berdampak-seperti-ini-untuk-orang-lain" TargetMode="External"/><Relationship Id="rId4" Type="http://schemas.openxmlformats.org/officeDocument/2006/relationships/settings" Target="settings.xml"/><Relationship Id="rId9" Type="http://schemas.openxmlformats.org/officeDocument/2006/relationships/hyperlink" Target="mailto:Uutsangadah1399@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amp/s/www.jawapos.com/lifestyle/amp/011773713/hukum-flexing-menurut-islam-ternyata-bisa-berdampak-seperti-ini-untuk-orang-l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8F470-9145-4CD4-A68B-84A6B4B3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5178</Words>
  <Characters>29518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Pebii Moon</cp:lastModifiedBy>
  <cp:revision>15</cp:revision>
  <dcterms:created xsi:type="dcterms:W3CDTF">2024-06-09T08:59:00Z</dcterms:created>
  <dcterms:modified xsi:type="dcterms:W3CDTF">2024-07-24T10:04:00Z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2023-09-23T00:00:00Z</vt:filetime>
  </property>
  <property fmtid="{D5CDD505-2E9C-101B-9397-08002B2CF9AE}" pid="3" name="Creator">
    <vt:lpwstr>Microsoft® Word 2013</vt:lpwstr>
  </property>
  <property fmtid="{D5CDD505-2E9C-101B-9397-08002B2CF9AE}" pid="4" name="LastSaved">
    <vt:filetime>2024-06-09T00:00:00Z</vt:filetime>
  </property>
  <property fmtid="{D5CDD505-2E9C-101B-9397-08002B2CF9AE}" pid="5" name="Producer">
    <vt:lpwstr>Microsoft® Word 2013</vt:lpwstr>
  </property>
</Properties>
</file>